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(Themes)</w:t>
      </w:r>
      <w:r>
        <w:rPr>
          <w:lang w:val="id_ID" w:bidi="id_ID"/>
        </w:rPr>
      </w:r>
    </w:p>
    <w:p>
      <w:pPr/>
      <w:r>
        <w:rPr>
          <w:lang w:val="id_ID" w:bidi="id_ID"/>
        </w:rPr>
      </w:r>
      <w:r>
        <w:rPr>
          <w:b/>
          <w:lang w:val="id_ID" w:bidi="id_ID"/>
        </w:rPr>
        <w:t>Aquifer Open Study Notes (Themes)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Iman dan Perbuatan Baik</w:t>
      </w:r>
      <w:r>
        <w:rPr>
          <w:lang w:val="id_ID" w:bidi="id_ID"/>
        </w:rPr>
      </w:r>
    </w:p>
    <w:p>
      <w:pPr/>
      <w:r>
        <w:rPr>
          <w:lang w:val="id_ID" w:bidi="id_ID"/>
        </w:rPr>
      </w:r>
      <w:r>
        <w:rPr>
          <w:lang w:val="id_ID" w:bidi="id_ID"/>
        </w:rPr>
        <w:t xml:space="preserve">Yesus tidak mengajarkan bahwa kita diselamatkan oleh melakukan perbuatan baik ("perbuatan-perbuatan"). Sebaliknya, Dia mengajarkan bahwa kita perlu mengalami perubahan dari dalam. Perubahan ini (atau pertobatan) terjadi ketika Allah bekerja dalam diri kita melalui kasih karunia-Nya. Ketika Allah mengubah kita, kita secara alami mulai hidup dengan cara yang berbeda dan menaati-Nya. Ketika seseorang memiliki hubungan yang nyata dengan Yesus Kristus, mereka akan melakukan hal-hal yang baik sebagai hasilnya (lihat, contohnya, </w:t>
      </w:r>
      <w:r>
        <w:rPr>
          <w:lang w:val="id_ID" w:bidi="id_ID"/>
        </w:rPr>
        <w:t>Mat. 7:15–20</w:t>
      </w:r>
      <w:r>
        <w:rPr>
          <w:lang w:val="id_ID" w:bidi="id_ID"/>
        </w:rPr>
        <w:t xml:space="preserve">; </w:t>
      </w:r>
      <w:r>
        <w:rPr>
          <w:lang w:val="id_ID" w:bidi="id_ID"/>
        </w:rPr>
        <w:t>12:33–37</w:t>
      </w:r>
      <w:r>
        <w:rPr>
          <w:lang w:val="id_ID" w:bidi="id_ID"/>
        </w:rPr>
        <w:t xml:space="preserve">; </w:t>
      </w:r>
      <w:r>
        <w:rPr>
          <w:lang w:val="id_ID" w:bidi="id_ID"/>
        </w:rPr>
        <w:t>15:15–20</w:t>
      </w:r>
      <w:r>
        <w:rPr>
          <w:lang w:val="id_ID" w:bidi="id_ID"/>
        </w:rPr>
        <w:t>).</w:t>
      </w:r>
    </w:p>
    <w:p>
      <w:pPr/>
      <w:r>
        <w:rPr>
          <w:lang w:val="id_ID" w:bidi="id_ID"/>
        </w:rPr>
      </w:r>
      <w:r>
        <w:rPr>
          <w:lang w:val="id_ID" w:bidi="id_ID"/>
        </w:rPr>
        <w:t xml:space="preserve">Perumpamaan tentang domba dan kambing menunjukkan bagaimana iman dan perbuatan saling berkaitan erat. Kaitan antara iman, perbuatan, dan pengesahan terakhir dari Allah adalah tema umum dalam pengajaran Yesus (contohnya, </w:t>
      </w:r>
      <w:r>
        <w:rPr>
          <w:lang w:val="id_ID" w:bidi="id_ID"/>
        </w:rPr>
        <w:t>Mat. 7:13–27</w:t>
      </w:r>
      <w:r>
        <w:rPr>
          <w:lang w:val="id_ID" w:bidi="id_ID"/>
        </w:rPr>
        <w:t xml:space="preserve">; </w:t>
      </w:r>
      <w:r>
        <w:rPr>
          <w:lang w:val="id_ID" w:bidi="id_ID"/>
        </w:rPr>
        <w:t>13:3–9</w:t>
      </w:r>
      <w:r>
        <w:rPr>
          <w:lang w:val="id_ID" w:bidi="id_ID"/>
        </w:rPr>
        <w:t xml:space="preserve">, </w:t>
      </w:r>
      <w:r>
        <w:rPr>
          <w:lang w:val="id_ID" w:bidi="id_ID"/>
        </w:rPr>
        <w:t>18–23</w:t>
      </w:r>
      <w:r>
        <w:rPr>
          <w:lang w:val="id_ID" w:bidi="id_ID"/>
        </w:rPr>
        <w:t xml:space="preserve">; </w:t>
      </w:r>
      <w:r>
        <w:rPr>
          <w:lang w:val="id_ID" w:bidi="id_ID"/>
        </w:rPr>
        <w:t>16:27</w:t>
      </w:r>
      <w:r>
        <w:rPr>
          <w:lang w:val="id_ID" w:bidi="id_ID"/>
        </w:rPr>
        <w:t>). Bagi Yesus, perbuatan yang nyata menunjukkan iman, yang dimulai dengan pertobatan. Pertobatan adalah perubahan hati dan pikiran yang membuat seseorang berhenti berbuat dosa dan menjadi lebih taat kepada Allah (</w:t>
      </w:r>
      <w:r>
        <w:rPr>
          <w:lang w:val="id_ID" w:bidi="id_ID"/>
        </w:rPr>
        <w:t>Mat. 4:17</w:t>
      </w:r>
      <w:r>
        <w:rPr>
          <w:lang w:val="id_ID" w:bidi="id_ID"/>
        </w:rPr>
        <w:t xml:space="preserve">; lihat juga </w:t>
      </w:r>
      <w:r>
        <w:rPr>
          <w:lang w:val="id_ID" w:bidi="id_ID"/>
        </w:rPr>
        <w:t>Mat. 3:2</w:t>
      </w:r>
      <w:r>
        <w:rPr>
          <w:lang w:val="id_ID" w:bidi="id_ID"/>
        </w:rPr>
        <w:t xml:space="preserve">, </w:t>
      </w:r>
      <w:r>
        <w:rPr>
          <w:lang w:val="id_ID" w:bidi="id_ID"/>
        </w:rPr>
        <w:t>8–10</w:t>
      </w:r>
      <w:r>
        <w:rPr>
          <w:lang w:val="id_ID" w:bidi="id_ID"/>
        </w:rPr>
        <w:t xml:space="preserve">; </w:t>
      </w:r>
      <w:r>
        <w:rPr>
          <w:lang w:val="id_ID" w:bidi="id_ID"/>
        </w:rPr>
        <w:t>11:20–24</w:t>
      </w:r>
      <w:r>
        <w:rPr>
          <w:lang w:val="id_ID" w:bidi="id_ID"/>
        </w:rPr>
        <w:t xml:space="preserve">; </w:t>
      </w:r>
      <w:r>
        <w:rPr>
          <w:lang w:val="id_ID" w:bidi="id_ID"/>
        </w:rPr>
        <w:t>12:38–42</w:t>
      </w:r>
      <w:r>
        <w:rPr>
          <w:lang w:val="id_ID" w:bidi="id_ID"/>
        </w:rPr>
        <w:t>).</w:t>
      </w:r>
    </w:p>
    <w:p>
      <w:pPr/>
      <w:r>
        <w:rPr>
          <w:lang w:val="id_ID" w:bidi="id_ID"/>
        </w:rPr>
      </w:r>
      <w:r>
        <w:rPr>
          <w:lang w:val="id_ID" w:bidi="id_ID"/>
        </w:rPr>
        <w:t xml:space="preserve">Beberapa orang salah memahami apa arti keselamatan oleh kasih karunia Allah. Hal ini telah menciptakan perbedaan yang keliru antara iman dan perbuatan. Keselamatan tidak berasal dari perbuatan semata, tetapi juga mencakup perbuatan itu sendiri (lihat </w:t>
      </w:r>
      <w:r>
        <w:rPr>
          <w:lang w:val="id_ID" w:bidi="id_ID"/>
        </w:rPr>
        <w:t>Gal. 5:6</w:t>
      </w:r>
      <w:r>
        <w:rPr>
          <w:lang w:val="id_ID" w:bidi="id_ID"/>
        </w:rPr>
        <w:t xml:space="preserve">, </w:t>
      </w:r>
      <w:r>
        <w:rPr>
          <w:lang w:val="id_ID" w:bidi="id_ID"/>
        </w:rPr>
        <w:t>21</w:t>
      </w:r>
      <w:r>
        <w:rPr>
          <w:lang w:val="id_ID" w:bidi="id_ID"/>
        </w:rPr>
        <w:t xml:space="preserve">; </w:t>
      </w:r>
      <w:r>
        <w:rPr>
          <w:lang w:val="id_ID" w:bidi="id_ID"/>
        </w:rPr>
        <w:t>Ef. 2:10</w:t>
      </w:r>
      <w:r>
        <w:rPr>
          <w:lang w:val="id_ID" w:bidi="id_ID"/>
        </w:rPr>
        <w:t xml:space="preserve">; </w:t>
      </w:r>
      <w:r>
        <w:rPr>
          <w:lang w:val="id_ID" w:bidi="id_ID"/>
        </w:rPr>
        <w:t>5:5</w:t>
      </w:r>
      <w:r>
        <w:rPr>
          <w:lang w:val="id_ID" w:bidi="id_ID"/>
        </w:rPr>
        <w:t xml:space="preserve">; </w:t>
      </w:r>
      <w:r>
        <w:rPr>
          <w:lang w:val="id_ID" w:bidi="id_ID"/>
        </w:rPr>
        <w:t>1Yoh. 1:5–10</w:t>
      </w:r>
      <w:r>
        <w:rPr>
          <w:lang w:val="id_ID" w:bidi="id_ID"/>
        </w:rPr>
        <w:t xml:space="preserve">; </w:t>
      </w:r>
      <w:r>
        <w:rPr>
          <w:lang w:val="id_ID" w:bidi="id_ID"/>
        </w:rPr>
        <w:t>Why. 21:8</w:t>
      </w:r>
      <w:r>
        <w:rPr>
          <w:lang w:val="id_ID" w:bidi="id_ID"/>
        </w:rPr>
        <w:t>). Yesus menjanjikan berkat dan upah kepada mereka yang menaati kehendak Allah (</w:t>
      </w:r>
      <w:r>
        <w:rPr>
          <w:lang w:val="id_ID" w:bidi="id_ID"/>
        </w:rPr>
        <w:t>Mat. 5:3–12</w:t>
      </w:r>
      <w:r>
        <w:rPr>
          <w:lang w:val="id_ID" w:bidi="id_ID"/>
        </w:rPr>
        <w:t>). Oleh karena itu, kebenaran diperlukan bagi mereka yang ingin "masuk ke dalam Kerajaan Sorga" (</w:t>
      </w:r>
      <w:r>
        <w:rPr>
          <w:lang w:val="id_ID" w:bidi="id_ID"/>
        </w:rPr>
        <w:t>Mat. 5:20–48</w:t>
      </w:r>
      <w:r>
        <w:rPr>
          <w:lang w:val="id_ID" w:bidi="id_ID"/>
        </w:rPr>
        <w:t xml:space="preserve">; </w:t>
      </w:r>
      <w:r>
        <w:rPr>
          <w:lang w:val="id_ID" w:bidi="id_ID"/>
        </w:rPr>
        <w:t>7:21</w:t>
      </w:r>
      <w:r>
        <w:rPr>
          <w:lang w:val="id_ID" w:bidi="id_ID"/>
        </w:rPr>
        <w:t xml:space="preserve">; </w:t>
      </w:r>
      <w:r>
        <w:rPr>
          <w:lang w:val="id_ID" w:bidi="id_ID"/>
        </w:rPr>
        <w:t>22:11–14</w:t>
      </w:r>
      <w:r>
        <w:rPr>
          <w:lang w:val="id_ID" w:bidi="id_ID"/>
        </w:rPr>
        <w:t xml:space="preserve">; </w:t>
      </w:r>
      <w:r>
        <w:rPr>
          <w:lang w:val="id_ID" w:bidi="id_ID"/>
        </w:rPr>
        <w:t>23:3</w:t>
      </w:r>
      <w:r>
        <w:rPr>
          <w:lang w:val="id_ID" w:bidi="id_ID"/>
        </w:rPr>
        <w:t>). Iman yang tidak menghasilkan perbuatan bukanlah iman yang menyelamatkan (</w:t>
      </w:r>
      <w:r>
        <w:rPr>
          <w:lang w:val="id_ID" w:bidi="id_ID"/>
        </w:rPr>
        <w:t>Yak. 2:14–26</w:t>
      </w:r>
      <w:r>
        <w:rPr>
          <w:lang w:val="id_ID" w:bidi="id_ID"/>
        </w:rPr>
        <w:t>).</w:t>
      </w:r>
    </w:p>
    <w:p>
      <w:pPr/>
      <w:r>
        <w:rPr>
          <w:lang w:val="id_ID" w:bidi="id_ID"/>
        </w:rPr>
      </w:r>
      <w:r>
        <w:rPr>
          <w:lang w:val="id_ID" w:bidi="id_ID"/>
        </w:rPr>
        <w:t>Rasul Yakobus menekankan kesetiaan kepada Allah dan berpendapat bahwa melakukan perbuatan baik adalah bukti dari iman (</w:t>
      </w:r>
      <w:r>
        <w:rPr>
          <w:lang w:val="id_ID" w:bidi="id_ID"/>
        </w:rPr>
        <w:t>Yak. 2:14–26</w:t>
      </w:r>
      <w:r>
        <w:rPr>
          <w:lang w:val="id_ID" w:bidi="id_ID"/>
        </w:rPr>
        <w:t>). Hubungan dengan Allah tidak dapat hanya bergantung pada pengakuan akan suatu pernyataan yang benar (</w:t>
      </w:r>
      <w:r>
        <w:rPr>
          <w:lang w:val="id_ID" w:bidi="id_ID"/>
        </w:rPr>
        <w:t>Yak. 2:19</w:t>
      </w:r>
      <w:r>
        <w:rPr>
          <w:lang w:val="id_ID" w:bidi="id_ID"/>
        </w:rPr>
        <w:t>). Iman yang sejati menghasilkan perbuatan (</w:t>
      </w:r>
      <w:r>
        <w:rPr>
          <w:lang w:val="id_ID" w:bidi="id_ID"/>
        </w:rPr>
        <w:t>Yak. 1:22–25</w:t>
      </w:r>
      <w:r>
        <w:rPr>
          <w:lang w:val="id_ID" w:bidi="id_ID"/>
        </w:rPr>
        <w:t xml:space="preserve">; </w:t>
      </w:r>
      <w:r>
        <w:rPr>
          <w:lang w:val="id_ID" w:bidi="id_ID"/>
        </w:rPr>
        <w:t>2:14</w:t>
      </w:r>
      <w:r>
        <w:rPr>
          <w:lang w:val="id_ID" w:bidi="id_ID"/>
        </w:rPr>
        <w:t>). Perbuatan yang setia meneladani Allah, yang dengan murah hati memberikan karunia yang baik (</w:t>
      </w:r>
      <w:r>
        <w:rPr>
          <w:lang w:val="id_ID" w:bidi="id_ID"/>
        </w:rPr>
        <w:t>Yak. 1:5</w:t>
      </w:r>
      <w:r>
        <w:rPr>
          <w:lang w:val="id_ID" w:bidi="id_ID"/>
        </w:rPr>
        <w:t xml:space="preserve">, </w:t>
      </w:r>
      <w:r>
        <w:rPr>
          <w:lang w:val="id_ID" w:bidi="id_ID"/>
        </w:rPr>
        <w:t>17</w:t>
      </w:r>
      <w:r>
        <w:rPr>
          <w:lang w:val="id_ID" w:bidi="id_ID"/>
        </w:rPr>
        <w:t xml:space="preserve">; </w:t>
      </w:r>
      <w:r>
        <w:rPr>
          <w:lang w:val="id_ID" w:bidi="id_ID"/>
        </w:rPr>
        <w:t>4:6</w:t>
      </w:r>
      <w:r>
        <w:rPr>
          <w:lang w:val="id_ID" w:bidi="id_ID"/>
        </w:rPr>
        <w:t>). Iman dan perbuatan baik tidak dapat dipisahkan. Seperti Abraham, perbuatan baik menunjukkan bahwa seseorang memiliki iman yang penuh dan dibenarkan di hadapan Allah (</w:t>
      </w:r>
      <w:r>
        <w:rPr>
          <w:lang w:val="id_ID" w:bidi="id_ID"/>
        </w:rPr>
        <w:t>Yak. 2:23</w:t>
      </w:r>
      <w:r>
        <w:rPr>
          <w:lang w:val="id_ID" w:bidi="id_ID"/>
        </w:rPr>
        <w:t xml:space="preserve">; lihat </w:t>
      </w:r>
      <w:r>
        <w:rPr>
          <w:lang w:val="id_ID" w:bidi="id_ID"/>
        </w:rPr>
        <w:t>Kej. 15:6</w:t>
      </w:r>
      <w:r>
        <w:rPr>
          <w:lang w:val="id_ID" w:bidi="id_ID"/>
        </w:rPr>
        <w:t>).</w:t>
      </w:r>
    </w:p>
    <w:p>
      <w:pPr/>
      <w:r>
        <w:rPr>
          <w:lang w:val="id_ID" w:bidi="id_ID"/>
        </w:rPr>
      </w:r>
      <w:r>
        <w:rPr>
          <w:lang w:val="id_ID" w:bidi="id_ID"/>
        </w:rPr>
        <w:t xml:space="preserve">Yesus mengajarkan dan menunjukkan bahwa iman mencakup melakukan perbuatan baik (lihat </w:t>
      </w:r>
      <w:r>
        <w:rPr>
          <w:lang w:val="id_ID" w:bidi="id_ID"/>
        </w:rPr>
        <w:t>Mat. 5:13–16</w:t>
      </w:r>
      <w:r>
        <w:rPr>
          <w:lang w:val="id_ID" w:bidi="id_ID"/>
        </w:rPr>
        <w:t>). Paulus juga menekankan pentingnya perbuatan baik (</w:t>
      </w:r>
      <w:r>
        <w:rPr>
          <w:lang w:val="id_ID" w:bidi="id_ID"/>
        </w:rPr>
        <w:t>Rm. 2:6</w:t>
      </w:r>
      <w:r>
        <w:rPr>
          <w:lang w:val="id_ID" w:bidi="id_ID"/>
        </w:rPr>
        <w:t xml:space="preserve">; </w:t>
      </w:r>
      <w:r>
        <w:rPr>
          <w:lang w:val="id_ID" w:bidi="id_ID"/>
        </w:rPr>
        <w:t>Gal. 6:5–10</w:t>
      </w:r>
      <w:r>
        <w:rPr>
          <w:lang w:val="id_ID" w:bidi="id_ID"/>
        </w:rPr>
        <w:t xml:space="preserve">; </w:t>
      </w:r>
      <w:r>
        <w:rPr>
          <w:lang w:val="id_ID" w:bidi="id_ID"/>
        </w:rPr>
        <w:t>Ef. 2:10</w:t>
      </w:r>
      <w:r>
        <w:rPr>
          <w:lang w:val="id_ID" w:bidi="id_ID"/>
        </w:rPr>
        <w:t xml:space="preserve">; </w:t>
      </w:r>
      <w:r>
        <w:rPr>
          <w:lang w:val="id_ID" w:bidi="id_ID"/>
        </w:rPr>
        <w:t>Flp. 2:12–13</w:t>
      </w:r>
      <w:r>
        <w:rPr>
          <w:lang w:val="id_ID" w:bidi="id_ID"/>
        </w:rPr>
        <w:t xml:space="preserve">; </w:t>
      </w:r>
      <w:r>
        <w:rPr>
          <w:lang w:val="id_ID" w:bidi="id_ID"/>
        </w:rPr>
        <w:t>1Tes. 1:3</w:t>
      </w:r>
      <w:r>
        <w:rPr>
          <w:lang w:val="id_ID" w:bidi="id_ID"/>
        </w:rPr>
        <w:t>).</w:t>
      </w:r>
    </w:p>
    <w:p>
      <w:pPr/>
      <w:r>
        <w:rPr>
          <w:lang w:val="id_ID" w:bidi="id_ID"/>
        </w:rPr>
      </w:r>
      <w:r>
        <w:rPr>
          <w:lang w:val="id_ID" w:bidi="id_ID"/>
        </w:rPr>
        <w:t>Surat Yakobus menekankan tindakan-tindakan nyata yang menunjukkan iman. Tindakan-tindakan itu mencakup:</w:t>
      </w:r>
    </w:p>
    <w:p>
      <w:pPr>
        <w:pStyle w:val="ListBullet"/>
        <w:spacing w:line="240" w:lineRule="auto"/>
        <w:ind w:left="720"/>
      </w:pPr>
      <w:r>
        <w:rPr>
          <w:lang w:val="id_ID" w:bidi="id_ID"/>
        </w:rPr>
      </w:r>
      <w:r>
        <w:rPr>
          <w:lang w:val="id_ID" w:bidi="id_ID"/>
        </w:rPr>
        <w:t>Merawat yatim piatu dan janda (</w:t>
      </w:r>
      <w:r>
        <w:rPr>
          <w:lang w:val="id_ID" w:bidi="id_ID"/>
        </w:rPr>
        <w:t>Yak. 1:27</w:t>
      </w:r>
      <w:r>
        <w:rPr>
          <w:lang w:val="id_ID" w:bidi="id_ID"/>
        </w:rPr>
        <w:t>)</w:t>
      </w:r>
    </w:p>
    <w:p>
      <w:pPr>
        <w:pStyle w:val="ListBullet"/>
        <w:spacing w:line="240" w:lineRule="auto"/>
        <w:ind w:left="720"/>
      </w:pPr>
      <w:r>
        <w:rPr>
          <w:lang w:val="id_ID" w:bidi="id_ID"/>
        </w:rPr>
      </w:r>
      <w:r>
        <w:rPr>
          <w:lang w:val="id_ID" w:bidi="id_ID"/>
        </w:rPr>
        <w:t>Tidak memihak kepada orang kaya (</w:t>
      </w:r>
      <w:r>
        <w:rPr>
          <w:lang w:val="id_ID" w:bidi="id_ID"/>
        </w:rPr>
        <w:t>Yak. 2:1–7</w:t>
      </w:r>
      <w:r>
        <w:rPr>
          <w:lang w:val="id_ID" w:bidi="id_ID"/>
        </w:rPr>
        <w:t>)</w:t>
      </w:r>
    </w:p>
    <w:p>
      <w:pPr>
        <w:pStyle w:val="ListBullet"/>
        <w:spacing w:line="240" w:lineRule="auto"/>
        <w:ind w:left="720"/>
      </w:pPr>
      <w:r>
        <w:rPr>
          <w:lang w:val="id_ID" w:bidi="id_ID"/>
        </w:rPr>
      </w:r>
      <w:r>
        <w:rPr>
          <w:lang w:val="id_ID" w:bidi="id_ID"/>
        </w:rPr>
        <w:t>Menyediakan makanan dan pakaian untuk orang miskin (</w:t>
      </w:r>
      <w:r>
        <w:rPr>
          <w:lang w:val="id_ID" w:bidi="id_ID"/>
        </w:rPr>
        <w:t>Yak. 2:15–17</w:t>
      </w:r>
      <w:r>
        <w:rPr>
          <w:lang w:val="id_ID" w:bidi="id_ID"/>
        </w:rPr>
        <w:t>)</w:t>
      </w:r>
    </w:p>
    <w:p>
      <w:pPr>
        <w:pStyle w:val="ListBullet"/>
        <w:spacing w:line="240" w:lineRule="auto"/>
        <w:ind w:left="720"/>
      </w:pPr>
      <w:r>
        <w:rPr>
          <w:lang w:val="id_ID" w:bidi="id_ID"/>
        </w:rPr>
      </w:r>
      <w:r>
        <w:rPr>
          <w:lang w:val="id_ID" w:bidi="id_ID"/>
        </w:rPr>
        <w:t>Mengendalikan perkataan (</w:t>
      </w:r>
      <w:r>
        <w:rPr>
          <w:lang w:val="id_ID" w:bidi="id_ID"/>
        </w:rPr>
        <w:t>Yak. 3:1–12</w:t>
      </w:r>
      <w:r>
        <w:rPr>
          <w:lang w:val="id_ID" w:bidi="id_ID"/>
        </w:rPr>
        <w:t>)</w:t>
      </w:r>
    </w:p>
    <w:p>
      <w:pPr>
        <w:pStyle w:val="ListBullet"/>
        <w:spacing w:line="240" w:lineRule="auto"/>
        <w:ind w:left="720"/>
      </w:pPr>
      <w:r>
        <w:rPr>
          <w:lang w:val="id_ID" w:bidi="id_ID"/>
        </w:rPr>
      </w:r>
      <w:r>
        <w:rPr>
          <w:lang w:val="id_ID" w:bidi="id_ID"/>
        </w:rPr>
        <w:t>Mendorong terciptanya damai sejahtera (</w:t>
      </w:r>
      <w:r>
        <w:rPr>
          <w:lang w:val="id_ID" w:bidi="id_ID"/>
        </w:rPr>
        <w:t>Yak. 3:17–18</w:t>
      </w:r>
      <w:r>
        <w:rPr>
          <w:lang w:val="id_ID" w:bidi="id_ID"/>
        </w:rPr>
        <w:t>)</w:t>
      </w:r>
    </w:p>
    <w:p>
      <w:pPr>
        <w:pStyle w:val="ListBullet"/>
        <w:spacing w:line="240" w:lineRule="auto"/>
        <w:ind w:left="720"/>
      </w:pPr>
      <w:r>
        <w:rPr>
          <w:lang w:val="id_ID" w:bidi="id_ID"/>
        </w:rPr>
      </w:r>
      <w:r>
        <w:rPr>
          <w:lang w:val="id_ID" w:bidi="id_ID"/>
        </w:rPr>
        <w:t>Tidak menghakimi orang lain (</w:t>
      </w:r>
      <w:r>
        <w:rPr>
          <w:lang w:val="id_ID" w:bidi="id_ID"/>
        </w:rPr>
        <w:t>Yak. 4:11–12</w:t>
      </w:r>
      <w:r>
        <w:rPr>
          <w:lang w:val="id_ID" w:bidi="id_ID"/>
        </w:rPr>
        <w:t>)</w:t>
      </w:r>
    </w:p>
    <w:p>
      <w:pPr/>
      <w:r>
        <w:rPr>
          <w:lang w:val="id_ID" w:bidi="id_ID"/>
        </w:rPr>
      </w:r>
      <w:r>
        <w:rPr>
          <w:lang w:val="id_ID" w:bidi="id_ID"/>
        </w:rPr>
        <w:t>Tindakan-tindakan ini merupakan "</w:t>
      </w:r>
      <w:r>
        <w:rPr>
          <w:lang w:val="id_ID" w:bidi="id_ID"/>
        </w:rPr>
        <w:t>iman yang bekerja oleh kasih</w:t>
      </w:r>
      <w:r>
        <w:rPr>
          <w:lang w:val="id_ID" w:bidi="id_ID"/>
        </w:rPr>
        <w:t>" (</w:t>
      </w:r>
      <w:r>
        <w:rPr>
          <w:lang w:val="id_ID" w:bidi="id_ID"/>
        </w:rPr>
        <w:t>Gal. 5:6</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 17:1</w:t>
      </w:r>
      <w:r>
        <w:rPr>
          <w:lang w:val="id_ID" w:bidi="id_ID"/>
        </w:rPr>
        <w:t xml:space="preserve">; </w:t>
      </w:r>
      <w:r>
        <w:rPr>
          <w:lang w:val="id_ID" w:bidi="id_ID"/>
        </w:rPr>
        <w:t>22:1–19</w:t>
      </w:r>
      <w:r>
        <w:rPr>
          <w:lang w:val="id_ID" w:bidi="id_ID"/>
        </w:rPr>
        <w:t xml:space="preserve">; </w:t>
      </w:r>
      <w:r>
        <w:rPr>
          <w:lang w:val="id_ID" w:bidi="id_ID"/>
        </w:rPr>
        <w:t>Im. 22:31</w:t>
      </w:r>
      <w:r>
        <w:rPr>
          <w:lang w:val="id_ID" w:bidi="id_ID"/>
        </w:rPr>
        <w:t xml:space="preserve">; </w:t>
      </w:r>
      <w:r>
        <w:rPr>
          <w:lang w:val="id_ID" w:bidi="id_ID"/>
        </w:rPr>
        <w:t>Hab. 2:4</w:t>
      </w:r>
      <w:r>
        <w:rPr>
          <w:lang w:val="id_ID" w:bidi="id_ID"/>
        </w:rPr>
        <w:t xml:space="preserve">; </w:t>
      </w:r>
      <w:r>
        <w:rPr>
          <w:lang w:val="id_ID" w:bidi="id_ID"/>
        </w:rPr>
        <w:t>Mat. 3:2</w:t>
      </w:r>
      <w:r>
        <w:rPr>
          <w:lang w:val="id_ID" w:bidi="id_ID"/>
        </w:rPr>
        <w:t xml:space="preserve">, </w:t>
      </w:r>
      <w:r>
        <w:rPr>
          <w:lang w:val="id_ID" w:bidi="id_ID"/>
        </w:rPr>
        <w:t>8–10</w:t>
      </w:r>
      <w:r>
        <w:rPr>
          <w:lang w:val="id_ID" w:bidi="id_ID"/>
        </w:rPr>
        <w:t xml:space="preserve">; </w:t>
      </w:r>
      <w:r>
        <w:rPr>
          <w:lang w:val="id_ID" w:bidi="id_ID"/>
        </w:rPr>
        <w:t>4:17</w:t>
      </w:r>
      <w:r>
        <w:rPr>
          <w:lang w:val="id_ID" w:bidi="id_ID"/>
        </w:rPr>
        <w:t xml:space="preserve">; </w:t>
      </w:r>
      <w:r>
        <w:rPr>
          <w:lang w:val="id_ID" w:bidi="id_ID"/>
        </w:rPr>
        <w:t>5:3–12</w:t>
      </w:r>
      <w:r>
        <w:rPr>
          <w:lang w:val="id_ID" w:bidi="id_ID"/>
        </w:rPr>
        <w:t xml:space="preserve">, </w:t>
      </w:r>
      <w:r>
        <w:rPr>
          <w:lang w:val="id_ID" w:bidi="id_ID"/>
        </w:rPr>
        <w:t>20–48</w:t>
      </w:r>
      <w:r>
        <w:rPr>
          <w:lang w:val="id_ID" w:bidi="id_ID"/>
        </w:rPr>
        <w:t xml:space="preserve">; </w:t>
      </w:r>
      <w:r>
        <w:rPr>
          <w:lang w:val="id_ID" w:bidi="id_ID"/>
        </w:rPr>
        <w:t>7:13–27</w:t>
      </w:r>
      <w:r>
        <w:rPr>
          <w:lang w:val="id_ID" w:bidi="id_ID"/>
        </w:rPr>
        <w:t xml:space="preserve">; </w:t>
      </w:r>
      <w:r>
        <w:rPr>
          <w:lang w:val="id_ID" w:bidi="id_ID"/>
        </w:rPr>
        <w:t>10:32–33</w:t>
      </w:r>
      <w:r>
        <w:rPr>
          <w:lang w:val="id_ID" w:bidi="id_ID"/>
        </w:rPr>
        <w:t xml:space="preserve">; </w:t>
      </w:r>
      <w:r>
        <w:rPr>
          <w:lang w:val="id_ID" w:bidi="id_ID"/>
        </w:rPr>
        <w:t>11:20–24</w:t>
      </w:r>
      <w:r>
        <w:rPr>
          <w:lang w:val="id_ID" w:bidi="id_ID"/>
        </w:rPr>
        <w:t xml:space="preserve">; </w:t>
      </w:r>
      <w:r>
        <w:rPr>
          <w:lang w:val="id_ID" w:bidi="id_ID"/>
        </w:rPr>
        <w:t>12:33–42</w:t>
      </w:r>
      <w:r>
        <w:rPr>
          <w:lang w:val="id_ID" w:bidi="id_ID"/>
        </w:rPr>
        <w:t xml:space="preserve">; </w:t>
      </w:r>
      <w:r>
        <w:rPr>
          <w:lang w:val="id_ID" w:bidi="id_ID"/>
        </w:rPr>
        <w:t>13:3–9</w:t>
      </w:r>
      <w:r>
        <w:rPr>
          <w:lang w:val="id_ID" w:bidi="id_ID"/>
        </w:rPr>
        <w:t xml:space="preserve">, </w:t>
      </w:r>
      <w:r>
        <w:rPr>
          <w:lang w:val="id_ID" w:bidi="id_ID"/>
        </w:rPr>
        <w:t>18–23</w:t>
      </w:r>
      <w:r>
        <w:rPr>
          <w:lang w:val="id_ID" w:bidi="id_ID"/>
        </w:rPr>
        <w:t xml:space="preserve">; </w:t>
      </w:r>
      <w:r>
        <w:rPr>
          <w:lang w:val="id_ID" w:bidi="id_ID"/>
        </w:rPr>
        <w:t>15:15–20</w:t>
      </w:r>
      <w:r>
        <w:rPr>
          <w:lang w:val="id_ID" w:bidi="id_ID"/>
        </w:rPr>
        <w:t xml:space="preserve">; </w:t>
      </w:r>
      <w:r>
        <w:rPr>
          <w:lang w:val="id_ID" w:bidi="id_ID"/>
        </w:rPr>
        <w:t>16:27</w:t>
      </w:r>
      <w:r>
        <w:rPr>
          <w:lang w:val="id_ID" w:bidi="id_ID"/>
        </w:rPr>
        <w:t xml:space="preserve">; </w:t>
      </w:r>
      <w:r>
        <w:rPr>
          <w:lang w:val="id_ID" w:bidi="id_ID"/>
        </w:rPr>
        <w:t>25:31–46</w:t>
      </w:r>
      <w:r>
        <w:rPr>
          <w:lang w:val="id_ID" w:bidi="id_ID"/>
        </w:rPr>
        <w:t xml:space="preserve">; </w:t>
      </w:r>
      <w:r>
        <w:rPr>
          <w:lang w:val="id_ID" w:bidi="id_ID"/>
        </w:rPr>
        <w:t>Yoh. 15:2</w:t>
      </w:r>
      <w:r>
        <w:rPr>
          <w:lang w:val="id_ID" w:bidi="id_ID"/>
        </w:rPr>
        <w:t xml:space="preserve">; </w:t>
      </w:r>
      <w:r>
        <w:rPr>
          <w:lang w:val="id_ID" w:bidi="id_ID"/>
        </w:rPr>
        <w:t>Rm. 2:6</w:t>
      </w:r>
      <w:r>
        <w:rPr>
          <w:lang w:val="id_ID" w:bidi="id_ID"/>
        </w:rPr>
        <w:t xml:space="preserve">; </w:t>
      </w:r>
      <w:r>
        <w:rPr>
          <w:lang w:val="id_ID" w:bidi="id_ID"/>
        </w:rPr>
        <w:t>Gal. 5:6</w:t>
      </w:r>
      <w:r>
        <w:rPr>
          <w:lang w:val="id_ID" w:bidi="id_ID"/>
        </w:rPr>
        <w:t xml:space="preserve">, </w:t>
      </w:r>
      <w:r>
        <w:rPr>
          <w:lang w:val="id_ID" w:bidi="id_ID"/>
        </w:rPr>
        <w:t>16–26</w:t>
      </w:r>
      <w:r>
        <w:rPr>
          <w:lang w:val="id_ID" w:bidi="id_ID"/>
        </w:rPr>
        <w:t xml:space="preserve">; </w:t>
      </w:r>
      <w:r>
        <w:rPr>
          <w:lang w:val="id_ID" w:bidi="id_ID"/>
        </w:rPr>
        <w:t>6:5–10</w:t>
      </w:r>
      <w:r>
        <w:rPr>
          <w:lang w:val="id_ID" w:bidi="id_ID"/>
        </w:rPr>
        <w:t xml:space="preserve">; </w:t>
      </w:r>
      <w:r>
        <w:rPr>
          <w:lang w:val="id_ID" w:bidi="id_ID"/>
        </w:rPr>
        <w:t>Ef. 2:8–10</w:t>
      </w:r>
      <w:r>
        <w:rPr>
          <w:lang w:val="id_ID" w:bidi="id_ID"/>
        </w:rPr>
        <w:t xml:space="preserve">; </w:t>
      </w:r>
      <w:r>
        <w:rPr>
          <w:lang w:val="id_ID" w:bidi="id_ID"/>
        </w:rPr>
        <w:t>5:3–9</w:t>
      </w:r>
      <w:r>
        <w:rPr>
          <w:lang w:val="id_ID" w:bidi="id_ID"/>
        </w:rPr>
        <w:t xml:space="preserve">; </w:t>
      </w:r>
      <w:r>
        <w:rPr>
          <w:lang w:val="id_ID" w:bidi="id_ID"/>
        </w:rPr>
        <w:t>Flp. 2:12–13</w:t>
      </w:r>
      <w:r>
        <w:rPr>
          <w:lang w:val="id_ID" w:bidi="id_ID"/>
        </w:rPr>
        <w:t xml:space="preserve">; </w:t>
      </w:r>
      <w:r>
        <w:rPr>
          <w:lang w:val="id_ID" w:bidi="id_ID"/>
        </w:rPr>
        <w:t>Ibr. 11:1–40</w:t>
      </w:r>
      <w:r>
        <w:rPr>
          <w:lang w:val="id_ID" w:bidi="id_ID"/>
        </w:rPr>
        <w:t xml:space="preserve">; </w:t>
      </w:r>
      <w:r>
        <w:rPr>
          <w:lang w:val="id_ID" w:bidi="id_ID"/>
        </w:rPr>
        <w:t>Yak. 2:14–26</w:t>
      </w:r>
      <w:r>
        <w:rPr>
          <w:lang w:val="id_ID" w:bidi="id_ID"/>
        </w:rPr>
        <w:t xml:space="preserve">; </w:t>
      </w:r>
      <w:r>
        <w:rPr>
          <w:lang w:val="id_ID" w:bidi="id_ID"/>
        </w:rPr>
        <w:t>1Yoh. 1:5–10</w:t>
      </w:r>
      <w:r>
        <w:rPr>
          <w:lang w:val="id_ID" w:bidi="id_ID"/>
        </w:rPr>
        <w:t xml:space="preserve">; </w:t>
      </w:r>
      <w:r>
        <w:rPr>
          <w:lang w:val="id_ID" w:bidi="id_ID"/>
        </w:rPr>
        <w:t>Why. 21:6–8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