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Kepemimpinan Karismatik</w:t>
      </w:r>
      <w:r>
        <w:rPr>
          <w:lang w:val="id_ID" w:bidi="id_ID"/>
        </w:rPr>
      </w:r>
    </w:p>
    <w:p>
      <w:pPr/>
      <w:r>
        <w:rPr>
          <w:lang w:val="id_ID" w:bidi="id_ID"/>
        </w:rPr>
      </w:r>
      <w:r>
        <w:rPr>
          <w:lang w:val="id_ID" w:bidi="id_ID"/>
        </w:rPr>
        <w:t xml:space="preserve">Kitab suci menggambarkan beberapa pemimpin sebagai pemimpin yang </w:t>
      </w:r>
      <w:r>
        <w:rPr>
          <w:i/>
          <w:lang w:val="id_ID" w:bidi="id_ID"/>
        </w:rPr>
        <w:t>karismatik</w:t>
      </w:r>
      <w:r>
        <w:rPr>
          <w:lang w:val="id_ID" w:bidi="id_ID"/>
        </w:rPr>
        <w:t xml:space="preserve"> (dikaruniai) karena otoritas mereka berasal dari Roh Allah. Roh Allah memberikan kualitas-kualitas khusus kepada mereka.</w:t>
      </w:r>
    </w:p>
    <w:p>
      <w:pPr/>
      <w:r>
        <w:rPr>
          <w:lang w:val="id_ID" w:bidi="id_ID"/>
        </w:rPr>
      </w:r>
      <w:r>
        <w:rPr>
          <w:lang w:val="id_ID" w:bidi="id_ID"/>
        </w:rPr>
        <w:t>Para hakim dalam Perjanjian Lama sering termasuk dalam kelompok ini. Para pemimpin karismatik ini muncul pada masa-masa sulit sebagai tanggapan terhadap berbagai persoalan. Dalam kitab Hakim-hakim, persoalan-persoalan ini sering terjadi karena bangsa Israel "</w:t>
      </w:r>
      <w:r>
        <w:rPr>
          <w:lang w:val="id_ID" w:bidi="id_ID"/>
        </w:rPr>
        <w:t>melakukan apa yang jahat di mata TUHAN</w:t>
      </w:r>
      <w:r>
        <w:rPr>
          <w:lang w:val="id_ID" w:bidi="id_ID"/>
        </w:rPr>
        <w:t>." Hal ini menyebabkan musuh-musuh menindas Israel (</w:t>
      </w:r>
      <w:r>
        <w:rPr>
          <w:lang w:val="id_ID" w:bidi="id_ID"/>
        </w:rPr>
        <w:t>Hak. 3:12</w:t>
      </w:r>
      <w:r>
        <w:rPr>
          <w:lang w:val="id_ID" w:bidi="id_ID"/>
        </w:rPr>
        <w:t xml:space="preserve">; </w:t>
      </w:r>
      <w:r>
        <w:rPr>
          <w:lang w:val="id_ID" w:bidi="id_ID"/>
        </w:rPr>
        <w:t>4:1</w:t>
      </w:r>
      <w:r>
        <w:rPr>
          <w:lang w:val="id_ID" w:bidi="id_ID"/>
        </w:rPr>
        <w:t xml:space="preserve">; </w:t>
      </w:r>
      <w:r>
        <w:rPr>
          <w:lang w:val="id_ID" w:bidi="id_ID"/>
        </w:rPr>
        <w:t>6:1</w:t>
      </w:r>
      <w:r>
        <w:rPr>
          <w:lang w:val="id_ID" w:bidi="id_ID"/>
        </w:rPr>
        <w:t xml:space="preserve">; </w:t>
      </w:r>
      <w:r>
        <w:rPr>
          <w:lang w:val="id_ID" w:bidi="id_ID"/>
        </w:rPr>
        <w:t>Hak. 10:6</w:t>
      </w:r>
      <w:r>
        <w:rPr>
          <w:lang w:val="id_ID" w:bidi="id_ID"/>
        </w:rPr>
        <w:t xml:space="preserve">; </w:t>
      </w:r>
      <w:r>
        <w:rPr>
          <w:lang w:val="id_ID" w:bidi="id_ID"/>
        </w:rPr>
        <w:t>13:1</w:t>
      </w:r>
      <w:r>
        <w:rPr>
          <w:lang w:val="id_ID" w:bidi="id_ID"/>
        </w:rPr>
        <w:t>).</w:t>
      </w:r>
    </w:p>
    <w:p>
      <w:pPr/>
      <w:r>
        <w:rPr>
          <w:lang w:val="id_ID" w:bidi="id_ID"/>
        </w:rPr>
      </w:r>
      <w:r>
        <w:rPr>
          <w:lang w:val="id_ID" w:bidi="id_ID"/>
        </w:rPr>
        <w:t xml:space="preserve">Kepemimpinan para hakim mengikuti suatu pola. Roh Allah "turun ke atas" seorang hakim dan dukungan kenabian menopang mereka. Pada masa-masa lainnya dalam sejarah Israel, Allah memberikan pesan-pesan nubuat (contohnya, </w:t>
      </w:r>
      <w:r>
        <w:rPr>
          <w:lang w:val="id_ID" w:bidi="id_ID"/>
        </w:rPr>
        <w:t>1Sam. 10:6</w:t>
      </w:r>
      <w:r>
        <w:rPr>
          <w:lang w:val="id_ID" w:bidi="id_ID"/>
        </w:rPr>
        <w:t xml:space="preserve">; </w:t>
      </w:r>
      <w:r>
        <w:rPr>
          <w:lang w:val="id_ID" w:bidi="id_ID"/>
        </w:rPr>
        <w:t>2Sam. 23:2</w:t>
      </w:r>
      <w:r>
        <w:rPr>
          <w:lang w:val="id_ID" w:bidi="id_ID"/>
        </w:rPr>
        <w:t xml:space="preserve">; </w:t>
      </w:r>
      <w:r>
        <w:rPr>
          <w:lang w:val="id_ID" w:bidi="id_ID"/>
        </w:rPr>
        <w:t>Yes. 61:1</w:t>
      </w:r>
      <w:r>
        <w:rPr>
          <w:lang w:val="id_ID" w:bidi="id_ID"/>
        </w:rPr>
        <w:t xml:space="preserve">; </w:t>
      </w:r>
      <w:r>
        <w:rPr>
          <w:lang w:val="id_ID" w:bidi="id_ID"/>
        </w:rPr>
        <w:t>Yeh. 11:5</w:t>
      </w:r>
      <w:r>
        <w:rPr>
          <w:lang w:val="id_ID" w:bidi="id_ID"/>
        </w:rPr>
        <w:t xml:space="preserve">; </w:t>
      </w:r>
      <w:r>
        <w:rPr>
          <w:lang w:val="id_ID" w:bidi="id_ID"/>
        </w:rPr>
        <w:t>Mi. 3:8</w:t>
      </w:r>
      <w:r>
        <w:rPr>
          <w:lang w:val="id_ID" w:bidi="id_ID"/>
        </w:rPr>
        <w:t xml:space="preserve">). Pada masa para hakim, Roh terkadang memberikan kekuatan fisik (contohnya, kepada Simson dalam </w:t>
      </w:r>
      <w:r>
        <w:rPr>
          <w:lang w:val="id_ID" w:bidi="id_ID"/>
        </w:rPr>
        <w:t>Hak. 14:6</w:t>
      </w:r>
      <w:r>
        <w:rPr>
          <w:lang w:val="id_ID" w:bidi="id_ID"/>
        </w:rPr>
        <w:t xml:space="preserve">, </w:t>
      </w:r>
      <w:r>
        <w:rPr>
          <w:lang w:val="id_ID" w:bidi="id_ID"/>
        </w:rPr>
        <w:t>19</w:t>
      </w:r>
      <w:r>
        <w:rPr>
          <w:lang w:val="id_ID" w:bidi="id_ID"/>
        </w:rPr>
        <w:t xml:space="preserve">; </w:t>
      </w:r>
      <w:r>
        <w:rPr>
          <w:lang w:val="id_ID" w:bidi="id_ID"/>
        </w:rPr>
        <w:t>15:14</w:t>
      </w:r>
      <w:r>
        <w:rPr>
          <w:lang w:val="id_ID" w:bidi="id_ID"/>
        </w:rPr>
        <w:t>). Roh juga terkadang memberikan kemampuan atau kuasa kepemimpinan kepada para hakim (</w:t>
      </w:r>
      <w:r>
        <w:rPr>
          <w:lang w:val="id_ID" w:bidi="id_ID"/>
        </w:rPr>
        <w:t>Hak. 3:10</w:t>
      </w:r>
      <w:r>
        <w:rPr>
          <w:lang w:val="id_ID" w:bidi="id_ID"/>
        </w:rPr>
        <w:t xml:space="preserve">; </w:t>
      </w:r>
      <w:r>
        <w:rPr>
          <w:lang w:val="id_ID" w:bidi="id_ID"/>
        </w:rPr>
        <w:t>6:34</w:t>
      </w:r>
      <w:r>
        <w:rPr>
          <w:lang w:val="id_ID" w:bidi="id_ID"/>
        </w:rPr>
        <w:t xml:space="preserve">; </w:t>
      </w:r>
      <w:r>
        <w:rPr>
          <w:lang w:val="id_ID" w:bidi="id_ID"/>
        </w:rPr>
        <w:t>11:29</w:t>
      </w:r>
      <w:r>
        <w:rPr>
          <w:lang w:val="id_ID" w:bidi="id_ID"/>
        </w:rPr>
        <w:t>).</w:t>
      </w:r>
    </w:p>
    <w:p>
      <w:pPr/>
      <w:r>
        <w:rPr>
          <w:lang w:val="id_ID" w:bidi="id_ID"/>
        </w:rPr>
      </w:r>
      <w:r>
        <w:rPr>
          <w:lang w:val="id_ID" w:bidi="id_ID"/>
        </w:rPr>
        <w:t>Yesus dan para rasul memimpin orang-orang melalui kuasa rohani. Para pemimpin Yahudi sering menunjukkan bahwa Yesus tidak memiliki gelar atau otoritas "resmi," namun Ia menunjukkan kuasa yang besar dan mendapatkan banyak pengikut. Para rasul ditetapkan pada posisi yang bisa kita sebut sebagai "jabatan." Meskipun gereja mula-mula memiliki beberapa organisasi dasar, namun itu tidak terstruktur seperti yang akan terjadi di kemudian hari. Otoritas para rasul adalah karunia dari Roh Kudus. Penyembuhan yang dilakukan Petrus terhadap orang lumpuh menunjukkan perbedaan antara kekayaan materi, seperti "perak atau emas," dan kekuatan rohani yang sejati (</w:t>
      </w:r>
      <w:r>
        <w:rPr>
          <w:lang w:val="id_ID" w:bidi="id_ID"/>
        </w:rPr>
        <w:t>Kisah. 3:1–8</w:t>
      </w:r>
      <w:r>
        <w:rPr>
          <w:lang w:val="id_ID" w:bidi="id_ID"/>
        </w:rPr>
        <w:t>).</w:t>
      </w:r>
    </w:p>
    <w:p>
      <w:pPr/>
      <w:r>
        <w:rPr>
          <w:lang w:val="id_ID" w:bidi="id_ID"/>
        </w:rPr>
      </w:r>
      <w:r>
        <w:rPr>
          <w:lang w:val="id_ID" w:bidi="id_ID"/>
        </w:rPr>
        <w:t xml:space="preserve">Sepanjang sejarah, dari zaman Israel kuno hingga saat ini, banyak pemimpin telah menunjukkan kuasa Allah yang bekerja melalui mereka. Kepemimpinan semacam ini bergantung pada Roh Allah yang memberikan mereka kualitas-kualitas khusus. Namun jika para pemimpin berhenti mengikuti Roh Allah, mereka dapat kehilangan kualitas-kualitas khusus ini (lihat </w:t>
      </w:r>
      <w:r>
        <w:rPr>
          <w:lang w:val="id_ID" w:bidi="id_ID"/>
        </w:rPr>
        <w:t>Hak. 16:20–21</w:t>
      </w:r>
      <w:r>
        <w:rPr>
          <w:lang w:val="id_ID" w:bidi="id_ID"/>
        </w:rPr>
        <w:t xml:space="preserve">; </w:t>
      </w:r>
      <w:r>
        <w:rPr>
          <w:lang w:val="id_ID" w:bidi="id_ID"/>
        </w:rPr>
        <w:t>1Sam. 16:14</w:t>
      </w:r>
      <w:r>
        <w:rPr>
          <w:lang w:val="id_ID" w:bidi="id_ID"/>
        </w:rPr>
        <w:t xml:space="preserve">; </w:t>
      </w:r>
      <w:r>
        <w:rPr>
          <w:lang w:val="id_ID" w:bidi="id_ID"/>
        </w:rPr>
        <w:t>Yes. 63:10</w:t>
      </w:r>
      <w:r>
        <w:rPr>
          <w:lang w:val="id_ID" w:bidi="id_ID"/>
        </w:rPr>
        <w:t>). Pemimpin yang dikaruniai oleh Roh harus selalu sadar dan bergantung pada Roh yang sama itu.</w:t>
      </w:r>
    </w:p>
    <w:p>
      <w:pPr/>
      <w:r>
        <w:rPr>
          <w:lang w:val="id_ID" w:bidi="id_ID"/>
        </w:rPr>
      </w:r>
      <w:r>
        <w:rPr>
          <w:u w:val="single"/>
          <w:lang w:val="id_ID" w:bidi="id_ID"/>
        </w:rPr>
        <w:t>Ayat-ayat untuk Pembelajaran Lebih Lanjut</w:t>
      </w:r>
    </w:p>
    <w:p>
      <w:pPr/>
      <w:r>
        <w:rPr>
          <w:lang w:val="id_ID" w:bidi="id_ID"/>
        </w:rPr>
      </w:r>
      <w:r>
        <w:rPr>
          <w:lang w:val="id_ID" w:bidi="id_ID"/>
        </w:rPr>
        <w:t>Kel. 31:2–5</w:t>
      </w:r>
      <w:r>
        <w:rPr>
          <w:lang w:val="id_ID" w:bidi="id_ID"/>
        </w:rPr>
        <w:t xml:space="preserve">; </w:t>
      </w:r>
      <w:r>
        <w:rPr>
          <w:lang w:val="id_ID" w:bidi="id_ID"/>
        </w:rPr>
        <w:t>Hak. 2:16–19</w:t>
      </w:r>
      <w:r>
        <w:rPr>
          <w:lang w:val="id_ID" w:bidi="id_ID"/>
        </w:rPr>
        <w:t xml:space="preserve">; </w:t>
      </w:r>
      <w:r>
        <w:rPr>
          <w:lang w:val="id_ID" w:bidi="id_ID"/>
        </w:rPr>
        <w:t>3:10</w:t>
      </w:r>
      <w:r>
        <w:rPr>
          <w:lang w:val="id_ID" w:bidi="id_ID"/>
        </w:rPr>
        <w:t xml:space="preserve">, </w:t>
      </w:r>
      <w:r>
        <w:rPr>
          <w:lang w:val="id_ID" w:bidi="id_ID"/>
        </w:rPr>
        <w:t>27–28</w:t>
      </w:r>
      <w:r>
        <w:rPr>
          <w:lang w:val="id_ID" w:bidi="id_ID"/>
        </w:rPr>
        <w:t xml:space="preserve">; </w:t>
      </w:r>
      <w:r>
        <w:rPr>
          <w:lang w:val="id_ID" w:bidi="id_ID"/>
        </w:rPr>
        <w:t>6:34–35</w:t>
      </w:r>
      <w:r>
        <w:rPr>
          <w:lang w:val="id_ID" w:bidi="id_ID"/>
        </w:rPr>
        <w:t xml:space="preserve">; </w:t>
      </w:r>
      <w:r>
        <w:rPr>
          <w:lang w:val="id_ID" w:bidi="id_ID"/>
        </w:rPr>
        <w:t>11:29</w:t>
      </w:r>
      <w:r>
        <w:rPr>
          <w:lang w:val="id_ID" w:bidi="id_ID"/>
        </w:rPr>
        <w:t xml:space="preserve">; </w:t>
      </w:r>
      <w:r>
        <w:rPr>
          <w:lang w:val="id_ID" w:bidi="id_ID"/>
        </w:rPr>
        <w:t>14:6</w:t>
      </w:r>
      <w:r>
        <w:rPr>
          <w:lang w:val="id_ID" w:bidi="id_ID"/>
        </w:rPr>
        <w:t xml:space="preserve">, </w:t>
      </w:r>
      <w:r>
        <w:rPr>
          <w:lang w:val="id_ID" w:bidi="id_ID"/>
        </w:rPr>
        <w:t>19</w:t>
      </w:r>
      <w:r>
        <w:rPr>
          <w:lang w:val="id_ID" w:bidi="id_ID"/>
        </w:rPr>
        <w:t xml:space="preserve">; </w:t>
      </w:r>
      <w:r>
        <w:rPr>
          <w:lang w:val="id_ID" w:bidi="id_ID"/>
        </w:rPr>
        <w:t>15:14</w:t>
      </w:r>
      <w:r>
        <w:rPr>
          <w:lang w:val="id_ID" w:bidi="id_ID"/>
        </w:rPr>
        <w:t xml:space="preserve">; </w:t>
      </w:r>
      <w:r>
        <w:rPr>
          <w:lang w:val="id_ID" w:bidi="id_ID"/>
        </w:rPr>
        <w:t>1Sam. 10:6</w:t>
      </w:r>
      <w:r>
        <w:rPr>
          <w:lang w:val="id_ID" w:bidi="id_ID"/>
        </w:rPr>
        <w:t xml:space="preserve">; </w:t>
      </w:r>
      <w:r>
        <w:rPr>
          <w:lang w:val="id_ID" w:bidi="id_ID"/>
        </w:rPr>
        <w:t>16:13–18</w:t>
      </w:r>
      <w:r>
        <w:rPr>
          <w:lang w:val="id_ID" w:bidi="id_ID"/>
        </w:rPr>
        <w:t xml:space="preserve">; </w:t>
      </w:r>
      <w:r>
        <w:rPr>
          <w:lang w:val="id_ID" w:bidi="id_ID"/>
        </w:rPr>
        <w:t>2Sam. 23:2</w:t>
      </w:r>
      <w:r>
        <w:rPr>
          <w:lang w:val="id_ID" w:bidi="id_ID"/>
        </w:rPr>
        <w:t xml:space="preserve">; </w:t>
      </w:r>
      <w:r>
        <w:rPr>
          <w:lang w:val="id_ID" w:bidi="id_ID"/>
        </w:rPr>
        <w:t>Yes. 61:1</w:t>
      </w:r>
      <w:r>
        <w:rPr>
          <w:lang w:val="id_ID" w:bidi="id_ID"/>
        </w:rPr>
        <w:t xml:space="preserve">; </w:t>
      </w:r>
      <w:r>
        <w:rPr>
          <w:lang w:val="id_ID" w:bidi="id_ID"/>
        </w:rPr>
        <w:t>Yeh. 11:5</w:t>
      </w:r>
      <w:r>
        <w:rPr>
          <w:lang w:val="id_ID" w:bidi="id_ID"/>
        </w:rPr>
        <w:t xml:space="preserve">; </w:t>
      </w:r>
      <w:r>
        <w:rPr>
          <w:lang w:val="id_ID" w:bidi="id_ID"/>
        </w:rPr>
        <w:t>Mi. 3:8</w:t>
      </w:r>
      <w:r>
        <w:rPr>
          <w:lang w:val="id_ID" w:bidi="id_ID"/>
        </w:rPr>
        <w:t xml:space="preserve">; </w:t>
      </w:r>
      <w:r>
        <w:rPr>
          <w:lang w:val="id_ID" w:bidi="id_ID"/>
        </w:rPr>
        <w:t>Mat. 3:16–4:2</w:t>
      </w:r>
      <w:r>
        <w:rPr>
          <w:lang w:val="id_ID" w:bidi="id_ID"/>
        </w:rPr>
        <w:t xml:space="preserve">; </w:t>
      </w:r>
      <w:r>
        <w:rPr>
          <w:lang w:val="id_ID" w:bidi="id_ID"/>
        </w:rPr>
        <w:t>Kisah. 6:8</w:t>
      </w:r>
      <w:r>
        <w:rPr>
          <w:lang w:val="id_ID" w:bidi="id_ID"/>
        </w:rPr>
        <w:t xml:space="preserve">; </w:t>
      </w:r>
      <w:r>
        <w:rPr>
          <w:lang w:val="id_ID" w:bidi="id_ID"/>
        </w:rPr>
        <w:t>8:4–40</w:t>
      </w:r>
      <w:r>
        <w:rPr>
          <w:lang w:val="id_ID" w:bidi="id_ID"/>
        </w:rPr>
        <w:t xml:space="preserve">; </w:t>
      </w:r>
      <w:r>
        <w:rPr>
          <w:lang w:val="id_ID" w:bidi="id_ID"/>
        </w:rPr>
        <w:t>Rm. 1:11</w:t>
      </w:r>
      <w:r>
        <w:rPr>
          <w:lang w:val="id_ID" w:bidi="id_ID"/>
        </w:rPr>
        <w:t xml:space="preserve">; </w:t>
      </w:r>
      <w:r>
        <w:rPr>
          <w:lang w:val="id_ID" w:bidi="id_ID"/>
        </w:rPr>
        <w:t>12:6–8</w:t>
      </w:r>
      <w:r>
        <w:rPr>
          <w:lang w:val="id_ID" w:bidi="id_ID"/>
        </w:rPr>
        <w:t xml:space="preserve">; </w:t>
      </w:r>
      <w:r>
        <w:rPr>
          <w:lang w:val="id_ID" w:bidi="id_ID"/>
        </w:rPr>
        <w:t>1Kor. 12:4–11</w:t>
      </w:r>
      <w:r>
        <w:rPr>
          <w:lang w:val="id_ID" w:bidi="id_ID"/>
        </w:rPr>
        <w:t xml:space="preserve">; </w:t>
      </w:r>
      <w:r>
        <w:rPr>
          <w:lang w:val="id_ID" w:bidi="id_ID"/>
        </w:rPr>
        <w:t>Ef. 4:11–12</w:t>
      </w:r>
      <w:r>
        <w:rPr>
          <w:lang w:val="id_ID" w:bidi="id_ID"/>
        </w:rPr>
      </w:r>
      <w:r>
        <w:rPr>
          <w:lang w:val="id_ID" w:bidi="id_ID"/>
        </w:rPr>
      </w:r>
    </w:p>
    <w:p>
      <w:pPr/>
      <w:r>
        <w:rPr>
          <w:lang w:val="id_ID" w:bidi="id_ID"/>
        </w:rPr>
      </w:r>
    </w:p>
    <w:p>
      <w:pPr>
        <w:pStyle w:val="Heading2"/>
      </w:pPr>
      <w:r>
        <w:rPr>
          <w:lang w:val="id_ID" w:bidi="id_ID"/>
        </w:rPr>
        <w:t>Kutuk dan Berkat</w:t>
      </w:r>
      <w:r>
        <w:rPr>
          <w:lang w:val="id_ID" w:bidi="id_ID"/>
        </w:rPr>
      </w:r>
    </w:p>
    <w:p>
      <w:pPr/>
      <w:r>
        <w:rPr>
          <w:lang w:val="id_ID" w:bidi="id_ID"/>
        </w:rPr>
      </w:r>
      <w:r>
        <w:rPr>
          <w:lang w:val="id_ID" w:bidi="id_ID"/>
        </w:rPr>
        <w:t xml:space="preserve">Hampir semua teks kesepakatan atau perjanjian dari Timur Dekat kuno menyertakan kutuk dan berkat. Kutuk difokuskan kepada mereka yang melanggar ketentuan perjanjian. Berkat diberikan kepada mereka yang tetap setia. Hal ini terutama berlaku untuk perjanjian </w:t>
      </w:r>
      <w:r>
        <w:rPr>
          <w:i/>
          <w:lang w:val="id_ID" w:bidi="id_ID"/>
        </w:rPr>
        <w:t>suzerain-vassal</w:t>
      </w:r>
      <w:r>
        <w:rPr>
          <w:lang w:val="id_ID" w:bidi="id_ID"/>
        </w:rPr>
        <w:t xml:space="preserve"> (raja agung-raja bawahan atau rakyat) seperti yang terdapat dalam kitab Ulangan (lihat </w:t>
      </w:r>
      <w:r>
        <w:rPr>
          <w:lang w:val="id_ID" w:bidi="id_ID"/>
        </w:rPr>
        <w:t>Pengantar Kitab Ulangan</w:t>
      </w:r>
      <w:r>
        <w:rPr>
          <w:lang w:val="id_ID" w:bidi="id_ID"/>
        </w:rPr>
        <w:t>, “Bentuk Sastra”).</w:t>
      </w:r>
    </w:p>
    <w:p>
      <w:pPr/>
      <w:r>
        <w:rPr>
          <w:lang w:val="id_ID" w:bidi="id_ID"/>
        </w:rPr>
      </w:r>
      <w:r>
        <w:rPr>
          <w:lang w:val="id_ID" w:bidi="id_ID"/>
        </w:rPr>
        <w:t>Kitab Ulangan menjelaskan kepada orang-orang Israel apa yang diharapkan Allah dari mereka. Perjanjian tersebut mengharuskan Israel untuk menaati Allah. Bangsa Israel berjanji untuk melakukan hal ini (</w:t>
      </w:r>
      <w:r>
        <w:rPr>
          <w:lang w:val="id_ID" w:bidi="id_ID"/>
        </w:rPr>
        <w:t>Kel. 19:8</w:t>
      </w:r>
      <w:r>
        <w:rPr>
          <w:lang w:val="id_ID" w:bidi="id_ID"/>
        </w:rPr>
        <w:t>). Bagian tentang kutuk dan berkat menjelaskan bagaimana Allah akan memberikan upah atas ketaatan dan menghukum ketidaktaatan (</w:t>
      </w:r>
      <w:r>
        <w:rPr>
          <w:lang w:val="id_ID" w:bidi="id_ID"/>
        </w:rPr>
        <w:t>Ul. 27:1–29:1</w:t>
      </w:r>
      <w:r>
        <w:rPr>
          <w:lang w:val="id_ID" w:bidi="id_ID"/>
        </w:rPr>
        <w:t>).</w:t>
      </w:r>
    </w:p>
    <w:p>
      <w:pPr/>
      <w:r>
        <w:rPr>
          <w:lang w:val="id_ID" w:bidi="id_ID"/>
        </w:rPr>
      </w:r>
      <w:r>
        <w:rPr>
          <w:lang w:val="id_ID" w:bidi="id_ID"/>
        </w:rPr>
        <w:t>Teks ini menekankan kutuk daripada berkat. Hal ini mungkin karena orang-orang cenderung lebih fokus pada janji daripada peringatan. Berkat seringkali lebih mudah dipahami. Hal ini karena berkat menjanjikan keselamatan di masa depan. Penghakiman kurang jelas dan memerlukan penjelasan yang lebih terperinci.</w:t>
      </w:r>
    </w:p>
    <w:p>
      <w:pPr/>
      <w:r>
        <w:rPr>
          <w:lang w:val="id_ID" w:bidi="id_ID"/>
        </w:rPr>
      </w:r>
      <w:r>
        <w:rPr>
          <w:lang w:val="id_ID" w:bidi="id_ID"/>
        </w:rPr>
        <w:t>Allah menekankan kutuk untuk berfokus pada konsekuensi dari kesalahan. Peringatan yang diberikan Yesus tentang peristiwa-peristiwa masa depan sejalan dengan peringatan ini (</w:t>
      </w:r>
      <w:r>
        <w:rPr>
          <w:lang w:val="id_ID" w:bidi="id_ID"/>
        </w:rPr>
        <w:t>Mat. 24–25</w:t>
      </w:r>
      <w:r>
        <w:rPr>
          <w:lang w:val="id_ID" w:bidi="id_ID"/>
        </w:rPr>
        <w:t>).</w:t>
      </w:r>
    </w:p>
    <w:p>
      <w:pPr/>
      <w:r>
        <w:rPr>
          <w:lang w:val="id_ID" w:bidi="id_ID"/>
        </w:rPr>
      </w:r>
      <w:r>
        <w:rPr>
          <w:lang w:val="id_ID" w:bidi="id_ID"/>
        </w:rPr>
        <w:t xml:space="preserve">Sejarah Israel menunjukkan bagaimana Allah menggenapi janji-Nya tentang berkat dan kutuk. Ketika Israel mematuhi perjanjian mereka dengan Allah, Dia memberkati mereka. Ketika mereka memberontak, Dia menghakimi mereka. Pemberontakan Israel dirangkum dalam </w:t>
      </w:r>
      <w:r>
        <w:rPr>
          <w:lang w:val="id_ID" w:bidi="id_ID"/>
        </w:rPr>
        <w:t>2Raj. 17:7–20</w:t>
      </w:r>
      <w:r>
        <w:rPr>
          <w:lang w:val="id_ID" w:bidi="id_ID"/>
        </w:rPr>
        <w:t>. Ketika bangsa Israel melanggar dua perintah pertama, mereka melanggar seluruh perjanjian (</w:t>
      </w:r>
      <w:r>
        <w:rPr>
          <w:lang w:val="id_ID" w:bidi="id_ID"/>
        </w:rPr>
        <w:t>Ul. 5:7–10</w:t>
      </w:r>
      <w:r>
        <w:rPr>
          <w:lang w:val="id_ID" w:bidi="id_ID"/>
        </w:rPr>
        <w:t xml:space="preserve">). Pemberontakan mereka mendatangkan kutuk yang tercantum dalam </w:t>
      </w:r>
      <w:r>
        <w:rPr>
          <w:lang w:val="id_ID" w:bidi="id_ID"/>
        </w:rPr>
        <w:t>Ul. 28</w:t>
      </w:r>
      <w:r>
        <w:rPr>
          <w:lang w:val="id_ID" w:bidi="id_ID"/>
        </w:rPr>
        <w:t xml:space="preserve"> atas mereka.</w:t>
      </w:r>
    </w:p>
    <w:p>
      <w:pPr/>
      <w:r>
        <w:rPr>
          <w:lang w:val="id_ID" w:bidi="id_ID"/>
        </w:rPr>
      </w:r>
      <w:r>
        <w:rPr>
          <w:u w:val="single"/>
          <w:lang w:val="id_ID" w:bidi="id_ID"/>
        </w:rPr>
        <w:t>Ayat-ayat untuk Pembelajaran Lebih Lanjut</w:t>
      </w:r>
    </w:p>
    <w:p>
      <w:pPr/>
      <w:r>
        <w:rPr>
          <w:lang w:val="id_ID" w:bidi="id_ID"/>
        </w:rPr>
      </w:r>
      <w:r>
        <w:rPr>
          <w:lang w:val="id_ID" w:bidi="id_ID"/>
        </w:rPr>
        <w:t>Kej. 9:24–27</w:t>
      </w:r>
      <w:r>
        <w:rPr>
          <w:lang w:val="id_ID" w:bidi="id_ID"/>
        </w:rPr>
        <w:t xml:space="preserve">; </w:t>
      </w:r>
      <w:r>
        <w:rPr>
          <w:lang w:val="id_ID" w:bidi="id_ID"/>
        </w:rPr>
        <w:t>Im. 26:3–45</w:t>
      </w:r>
      <w:r>
        <w:rPr>
          <w:lang w:val="id_ID" w:bidi="id_ID"/>
        </w:rPr>
        <w:t xml:space="preserve">; </w:t>
      </w:r>
      <w:r>
        <w:rPr>
          <w:lang w:val="id_ID" w:bidi="id_ID"/>
        </w:rPr>
        <w:t>Ul. 8:7–20</w:t>
      </w:r>
      <w:r>
        <w:rPr>
          <w:lang w:val="id_ID" w:bidi="id_ID"/>
        </w:rPr>
        <w:t xml:space="preserve">; </w:t>
      </w:r>
      <w:r>
        <w:rPr>
          <w:lang w:val="id_ID" w:bidi="id_ID"/>
        </w:rPr>
        <w:t>11:29</w:t>
      </w:r>
      <w:r>
        <w:rPr>
          <w:lang w:val="id_ID" w:bidi="id_ID"/>
        </w:rPr>
        <w:t xml:space="preserve">; </w:t>
      </w:r>
      <w:r>
        <w:rPr>
          <w:lang w:val="id_ID" w:bidi="id_ID"/>
        </w:rPr>
        <w:t>Ul. 27:1–29:1</w:t>
      </w:r>
      <w:r>
        <w:rPr>
          <w:lang w:val="id_ID" w:bidi="id_ID"/>
        </w:rPr>
        <w:t xml:space="preserve">; </w:t>
      </w:r>
      <w:r>
        <w:rPr>
          <w:lang w:val="id_ID" w:bidi="id_ID"/>
        </w:rPr>
        <w:t>Yos. 8:33–35</w:t>
      </w:r>
      <w:r>
        <w:rPr>
          <w:lang w:val="id_ID" w:bidi="id_ID"/>
        </w:rPr>
        <w:t xml:space="preserve">; </w:t>
      </w:r>
      <w:r>
        <w:rPr>
          <w:lang w:val="id_ID" w:bidi="id_ID"/>
        </w:rPr>
        <w:t>2Raj. 17:7–20</w:t>
      </w:r>
      <w:r>
        <w:rPr>
          <w:lang w:val="id_ID" w:bidi="id_ID"/>
        </w:rPr>
        <w:t xml:space="preserve">; </w:t>
      </w:r>
      <w:r>
        <w:rPr>
          <w:lang w:val="id_ID" w:bidi="id_ID"/>
        </w:rPr>
        <w:t>2Taw. 36:17–21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