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(Themes)</w:t>
      </w:r>
      <w:r>
        <w:rPr>
          <w:lang w:val="ru_RU" w:bidi="ru_RU"/>
        </w:rPr>
      </w:r>
    </w:p>
    <w:p>
      <w:pPr/>
      <w:r>
        <w:rPr>
          <w:lang w:val="ru_RU" w:bidi="ru_RU"/>
        </w:rPr>
      </w:r>
      <w:r>
        <w:rPr>
          <w:b/>
          <w:lang w:val="ru_RU" w:bidi="ru_RU"/>
        </w:rPr>
        <w:t>Aquifer Open Study Notes (Themes)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Полное уничтожение</w:t>
      </w:r>
      <w:r>
        <w:rPr>
          <w:lang w:val="ru_RU" w:bidi="ru_RU"/>
        </w:rPr>
      </w:r>
    </w:p>
    <w:p>
      <w:pPr/>
      <w:r>
        <w:rPr>
          <w:lang w:val="ru_RU" w:bidi="ru_RU"/>
        </w:rPr>
      </w:r>
      <w:r>
        <w:rPr>
          <w:lang w:val="ru_RU" w:bidi="ru_RU"/>
        </w:rPr>
        <w:t xml:space="preserve">См. статью </w:t>
      </w:r>
      <w:r>
        <w:rPr>
          <w:i/>
          <w:lang w:val="ru_RU" w:bidi="ru_RU"/>
        </w:rPr>
        <w:t>Полное посвящение (заклятое)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