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Laana na Baraka</w:t>
      </w:r>
      <w:r>
        <w:rPr>
          <w:lang w:val="sw_KE" w:bidi="sw_KE"/>
        </w:rPr>
      </w:r>
    </w:p>
    <w:p>
      <w:pPr/>
      <w:r>
        <w:rPr>
          <w:lang w:val="sw_KE" w:bidi="sw_KE"/>
        </w:rPr>
      </w:r>
      <w:r>
        <w:rPr>
          <w:lang w:val="sw_KE" w:bidi="sw_KE"/>
        </w:rPr>
        <w:t xml:space="preserve">Karibu maandiko yote ya agano kutoka Mashariki ya Kale yalijumuisha laana na baraka. Laana zililenga wale waliokiuka masharti ya agano, huku baraka zikiwa kwa wale waliobaki waaminifu. Hii ilikuwa kweli hasa kwa maagano ya suzerain-vassal (mfalme mkuu-mfalme mdogo au watu) kama ilivyo katika Kumbukumbu la Torati (tazama </w:t>
      </w:r>
      <w:r>
        <w:rPr>
          <w:lang w:val="sw_KE" w:bidi="sw_KE"/>
        </w:rPr>
        <w:t>Utangulizi wa Kitabu cha Kumbukumbu la Torati</w:t>
      </w:r>
      <w:r>
        <w:rPr>
          <w:lang w:val="sw_KE" w:bidi="sw_KE"/>
        </w:rPr>
        <w:t>, “Aina ya Kifasihi”).</w:t>
      </w:r>
    </w:p>
    <w:p>
      <w:pPr/>
      <w:r>
        <w:rPr>
          <w:lang w:val="sw_KE" w:bidi="sw_KE"/>
        </w:rPr>
      </w:r>
      <w:r>
        <w:rPr>
          <w:lang w:val="sw_KE" w:bidi="sw_KE"/>
        </w:rPr>
        <w:t>Kumbukumbu la Torati liliwaelezea watu wa Israeli kile ambacho Mungu alitarajia kutoka kwao. Agano liliwataka Waisraeli kumtii Mungu. Waisraeli walikubali kufanya hivyo (</w:t>
      </w:r>
      <w:r>
        <w:rPr>
          <w:lang w:val="sw_KE" w:bidi="sw_KE"/>
        </w:rPr>
        <w:t>Kutoka 19:8</w:t>
      </w:r>
      <w:r>
        <w:rPr>
          <w:lang w:val="sw_KE" w:bidi="sw_KE"/>
        </w:rPr>
        <w:t>). Sehemu ya laana na baraka inaeleza jinsi Mungu angezawadia utii na kuadhibu kutotii (</w:t>
      </w:r>
      <w:r>
        <w:rPr>
          <w:lang w:val="sw_KE" w:bidi="sw_KE"/>
        </w:rPr>
        <w:t>Kumbukumbu la Torati 27:1–29:1</w:t>
      </w:r>
      <w:r>
        <w:rPr>
          <w:lang w:val="sw_KE" w:bidi="sw_KE"/>
        </w:rPr>
        <w:t>).</w:t>
      </w:r>
    </w:p>
    <w:p>
      <w:pPr/>
      <w:r>
        <w:rPr>
          <w:lang w:val="sw_KE" w:bidi="sw_KE"/>
        </w:rPr>
      </w:r>
      <w:r>
        <w:rPr>
          <w:lang w:val="sw_KE" w:bidi="sw_KE"/>
        </w:rPr>
        <w:t>Maandishi yanasisitiza laana zaidi kuliko baraka. Hii inaweza kuwa kwa sababu watu huzingatia zaidi ahadi kuliko maonyo. Baraka mara nyingi ni rahisi kuelewa kwa sababu zinaahidi usalama wa baadaye. Hukumu haieleweki sana na inahitaji maelezo ya kina.</w:t>
      </w:r>
    </w:p>
    <w:p>
      <w:pPr/>
      <w:r>
        <w:rPr>
          <w:lang w:val="sw_KE" w:bidi="sw_KE"/>
        </w:rPr>
      </w:r>
      <w:r>
        <w:rPr>
          <w:lang w:val="sw_KE" w:bidi="sw_KE"/>
        </w:rPr>
        <w:t>Mungu anasisitiza laana ili kuzingatia matokeo ya kufanya makosa. Maonyo ambayo Yesu alitoa kuhusu matukio ya baadaye yanahusiana na maonyo haya (</w:t>
      </w:r>
      <w:r>
        <w:rPr>
          <w:lang w:val="sw_KE" w:bidi="sw_KE"/>
        </w:rPr>
        <w:t>Mathayo 24–25</w:t>
      </w:r>
      <w:r>
        <w:rPr>
          <w:lang w:val="sw_KE" w:bidi="sw_KE"/>
        </w:rPr>
        <w:t>).</w:t>
      </w:r>
    </w:p>
    <w:p>
      <w:pPr/>
      <w:r>
        <w:rPr>
          <w:lang w:val="sw_KE" w:bidi="sw_KE"/>
        </w:rPr>
      </w:r>
      <w:r>
        <w:rPr>
          <w:lang w:val="sw_KE" w:bidi="sw_KE"/>
        </w:rPr>
        <w:t xml:space="preserve">Historia ya Israeli inaonyesha jinsi Mungu alivyotimiza ahadi yake ya baraka na laana.. Wakati Israeli walifuata agano lao na Mungu, aliwabariki. Walipoasi, aliwahukumu. Uasi wa Israeli umeelezwa katika </w:t>
      </w:r>
      <w:r>
        <w:rPr>
          <w:lang w:val="sw_KE" w:bidi="sw_KE"/>
        </w:rPr>
        <w:t>2 Wafalme 17:7–20</w:t>
      </w:r>
      <w:r>
        <w:rPr>
          <w:lang w:val="sw_KE" w:bidi="sw_KE"/>
        </w:rPr>
        <w:t>. Wakati Waisraeli walivunja amri mbili za kwanza, walikiuka agano lote (</w:t>
      </w:r>
      <w:r>
        <w:rPr>
          <w:lang w:val="sw_KE" w:bidi="sw_KE"/>
        </w:rPr>
        <w:t>Kumbukumbu la Torati 5:7–10</w:t>
      </w:r>
      <w:r>
        <w:rPr>
          <w:lang w:val="sw_KE" w:bidi="sw_KE"/>
        </w:rPr>
        <w:t xml:space="preserve">). Uasi wao ulisababisha laana za </w:t>
      </w:r>
      <w:r>
        <w:rPr>
          <w:lang w:val="sw_KE" w:bidi="sw_KE"/>
        </w:rPr>
        <w:t>Kumbukumbu la Torati 28</w:t>
      </w:r>
      <w:r>
        <w:rPr>
          <w:lang w:val="sw_KE" w:bidi="sw_KE"/>
        </w:rPr>
        <w:t xml:space="preserve"> juu yao.</w:t>
      </w:r>
    </w:p>
    <w:p>
      <w:pPr/>
      <w:r>
        <w:rPr>
          <w:lang w:val="sw_KE" w:bidi="sw_KE"/>
        </w:rPr>
      </w:r>
      <w:r>
        <w:rPr>
          <w:u w:val="single"/>
          <w:lang w:val="sw_KE" w:bidi="sw_KE"/>
        </w:rPr>
        <w:t>Sehemu za Kujifunza Zaidi</w:t>
      </w:r>
    </w:p>
    <w:p>
      <w:pPr/>
      <w:r>
        <w:rPr>
          <w:lang w:val="sw_KE" w:bidi="sw_KE"/>
        </w:rPr>
      </w:r>
      <w:r>
        <w:rPr>
          <w:lang w:val="sw_KE" w:bidi="sw_KE"/>
        </w:rPr>
        <w:t>Mwanzo 9:24–27</w:t>
      </w:r>
      <w:r>
        <w:rPr>
          <w:lang w:val="sw_KE" w:bidi="sw_KE"/>
        </w:rPr>
        <w:t xml:space="preserve">; </w:t>
      </w:r>
      <w:r>
        <w:rPr>
          <w:lang w:val="sw_KE" w:bidi="sw_KE"/>
        </w:rPr>
        <w:t>Walawi 26:3–45</w:t>
      </w:r>
      <w:r>
        <w:rPr>
          <w:lang w:val="sw_KE" w:bidi="sw_KE"/>
        </w:rPr>
        <w:t xml:space="preserve">; </w:t>
      </w:r>
      <w:r>
        <w:rPr>
          <w:lang w:val="sw_KE" w:bidi="sw_KE"/>
        </w:rPr>
        <w:t>Kumbukumbu la Torati 8:7–20</w:t>
      </w:r>
      <w:r>
        <w:rPr>
          <w:lang w:val="sw_KE" w:bidi="sw_KE"/>
        </w:rPr>
        <w:t xml:space="preserve">; </w:t>
      </w:r>
      <w:r>
        <w:rPr>
          <w:lang w:val="sw_KE" w:bidi="sw_KE"/>
        </w:rPr>
        <w:t>11:29</w:t>
      </w:r>
      <w:r>
        <w:rPr>
          <w:lang w:val="sw_KE" w:bidi="sw_KE"/>
        </w:rPr>
        <w:t xml:space="preserve">; </w:t>
      </w:r>
      <w:r>
        <w:rPr>
          <w:lang w:val="sw_KE" w:bidi="sw_KE"/>
        </w:rPr>
        <w:t>Kumbukumbu la Torati 27:1–29:1</w:t>
      </w:r>
      <w:r>
        <w:rPr>
          <w:lang w:val="sw_KE" w:bidi="sw_KE"/>
        </w:rPr>
        <w:t xml:space="preserve">; </w:t>
      </w:r>
      <w:r>
        <w:rPr>
          <w:lang w:val="sw_KE" w:bidi="sw_KE"/>
        </w:rPr>
        <w:t>Yoshua 8:33–35</w:t>
      </w:r>
      <w:r>
        <w:rPr>
          <w:lang w:val="sw_KE" w:bidi="sw_KE"/>
        </w:rPr>
        <w:t xml:space="preserve">; </w:t>
      </w:r>
      <w:r>
        <w:rPr>
          <w:lang w:val="sw_KE" w:bidi="sw_KE"/>
        </w:rPr>
        <w:t>2 Wafalme 17:7–20</w:t>
      </w:r>
      <w:r>
        <w:rPr>
          <w:lang w:val="sw_KE" w:bidi="sw_KE"/>
        </w:rPr>
        <w:t xml:space="preserve">; </w:t>
      </w:r>
      <w:r>
        <w:rPr>
          <w:lang w:val="sw_KE" w:bidi="sw_KE"/>
        </w:rPr>
        <w:t>2 Mambo ya Nyakati 36:17–21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