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bei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背道</w:t>
      </w:r>
      <w:r>
        <w:rPr>
          <w:lang w:val="zh_TW" w:bidi="zh_TW"/>
        </w:rPr>
      </w:r>
    </w:p>
    <w:p>
      <w:pPr/>
      <w:r>
        <w:rPr>
          <w:lang w:val="zh_TW" w:bidi="zh_TW"/>
        </w:rPr>
      </w:r>
      <w:r>
        <w:rPr>
          <w:lang w:val="zh_TW" w:bidi="zh_TW"/>
        </w:rPr>
        <w:t>令人遺憾的是，敵對神的行為不僅限於信仰群體之外的人。聖經記載許多看似認識神，後來卻背離祂的人（見</w:t>
      </w:r>
      <w:r>
        <w:rPr>
          <w:lang w:val="zh_TW" w:bidi="zh_TW"/>
        </w:rPr>
        <w:t>民16章；</w:t>
      </w:r>
      <w:r>
        <w:rPr>
          <w:lang w:val="zh_TW" w:bidi="zh_TW"/>
        </w:rPr>
        <w:t>申13章；</w:t>
      </w:r>
      <w:r>
        <w:rPr>
          <w:lang w:val="zh_TW" w:bidi="zh_TW"/>
        </w:rPr>
        <w:t>王下17:5–23；</w:t>
      </w:r>
      <w:r>
        <w:rPr>
          <w:lang w:val="zh_TW" w:bidi="zh_TW"/>
        </w:rPr>
        <w:t>結8章</w:t>
      </w:r>
      <w:r>
        <w:rPr>
          <w:lang w:val="zh_TW" w:bidi="zh_TW"/>
        </w:rPr>
        <w:t>）。對於那些離棄神的人，神必按公義施行相應的後果（</w:t>
      </w:r>
      <w:r>
        <w:rPr>
          <w:lang w:val="zh_TW" w:bidi="zh_TW"/>
        </w:rPr>
        <w:t>伯11:20；</w:t>
      </w:r>
      <w:r>
        <w:rPr>
          <w:lang w:val="zh_TW" w:bidi="zh_TW"/>
        </w:rPr>
        <w:t>箴1:24–31；</w:t>
      </w:r>
      <w:r>
        <w:rPr>
          <w:lang w:val="zh_TW" w:bidi="zh_TW"/>
        </w:rPr>
        <w:t>耶11:11</w:t>
      </w:r>
      <w:r>
        <w:rPr>
          <w:lang w:val="zh_TW" w:bidi="zh_TW"/>
        </w:rPr>
        <w:t>）。耶穌也曾談論那些「跌倒」的人，以及他們將面對的審判（</w:t>
      </w:r>
      <w:r>
        <w:rPr>
          <w:lang w:val="zh_TW" w:bidi="zh_TW"/>
        </w:rPr>
        <w:t>太16:27</w:t>
      </w:r>
      <w:r>
        <w:rPr>
          <w:lang w:val="zh_TW" w:bidi="zh_TW"/>
        </w:rPr>
        <w:t>，</w:t>
      </w:r>
      <w:r>
        <w:rPr>
          <w:lang w:val="zh_TW" w:bidi="zh_TW"/>
        </w:rPr>
        <w:t>23:13</w:t>
      </w:r>
      <w:r>
        <w:rPr>
          <w:lang w:val="zh_TW" w:bidi="zh_TW"/>
        </w:rPr>
        <w:t>，</w:t>
      </w:r>
      <w:r>
        <w:rPr>
          <w:lang w:val="zh_TW" w:bidi="zh_TW"/>
        </w:rPr>
        <w:t>24:10–13</w:t>
      </w:r>
      <w:r>
        <w:rPr>
          <w:lang w:val="zh_TW" w:bidi="zh_TW"/>
        </w:rPr>
        <w:t>，</w:t>
      </w:r>
      <w:r>
        <w:rPr>
          <w:lang w:val="zh_TW" w:bidi="zh_TW"/>
        </w:rPr>
        <w:t>25:41–46</w:t>
      </w:r>
      <w:r>
        <w:rPr>
          <w:lang w:val="zh_TW" w:bidi="zh_TW"/>
        </w:rPr>
        <w:t>），新約的作者亦延續了祂的教導（</w:t>
      </w:r>
      <w:r>
        <w:rPr>
          <w:lang w:val="zh_TW" w:bidi="zh_TW"/>
        </w:rPr>
        <w:t>加1:6–9；</w:t>
      </w:r>
      <w:r>
        <w:rPr>
          <w:lang w:val="zh_TW" w:bidi="zh_TW"/>
        </w:rPr>
        <w:t>提後3:1–9；</w:t>
      </w:r>
      <w:r>
        <w:rPr>
          <w:lang w:val="zh_TW" w:bidi="zh_TW"/>
        </w:rPr>
        <w:t>彼後2:1–22；</w:t>
      </w:r>
      <w:r>
        <w:rPr>
          <w:lang w:val="zh_TW" w:bidi="zh_TW"/>
        </w:rPr>
        <w:t>約一2:18–19</w:t>
      </w:r>
      <w:r>
        <w:rPr>
          <w:lang w:val="zh_TW" w:bidi="zh_TW"/>
        </w:rPr>
        <w:t>）。</w:t>
      </w:r>
    </w:p>
    <w:p>
      <w:pPr/>
      <w:r>
        <w:rPr>
          <w:lang w:val="zh_TW" w:bidi="zh_TW"/>
        </w:rPr>
      </w:r>
      <w:r>
        <w:rPr>
          <w:lang w:val="zh_TW" w:bidi="zh_TW"/>
        </w:rPr>
        <w:t>聖經明確指出，違背神的旨意將招致嚴重的後果（例如，見</w:t>
      </w:r>
      <w:r>
        <w:rPr>
          <w:lang w:val="zh_TW" w:bidi="zh_TW"/>
        </w:rPr>
        <w:t>創9:5–6</w:t>
      </w:r>
      <w:r>
        <w:rPr>
          <w:lang w:val="zh_TW" w:bidi="zh_TW"/>
        </w:rPr>
        <w:t>；</w:t>
      </w:r>
      <w:r>
        <w:rPr>
          <w:lang w:val="zh_TW" w:bidi="zh_TW"/>
        </w:rPr>
        <w:t>民35:16–21</w:t>
      </w:r>
      <w:r>
        <w:rPr>
          <w:lang w:val="zh_TW" w:bidi="zh_TW"/>
        </w:rPr>
        <w:t>；</w:t>
      </w:r>
      <w:r>
        <w:rPr>
          <w:lang w:val="zh_TW" w:bidi="zh_TW"/>
        </w:rPr>
        <w:t>利20:10</w:t>
      </w:r>
      <w:r>
        <w:rPr>
          <w:lang w:val="zh_TW" w:bidi="zh_TW"/>
        </w:rPr>
        <w:t>；</w:t>
      </w:r>
      <w:r>
        <w:rPr>
          <w:lang w:val="zh_TW" w:bidi="zh_TW"/>
        </w:rPr>
        <w:t>亞5:4</w:t>
      </w:r>
      <w:r>
        <w:rPr>
          <w:lang w:val="zh_TW" w:bidi="zh_TW"/>
        </w:rPr>
        <w:t>）。最終，神將把那些敵對祂旨意與權柄的人，從祂所賜生命的同在中分離出來（</w:t>
      </w:r>
      <w:r>
        <w:rPr>
          <w:lang w:val="zh_TW" w:bidi="zh_TW"/>
        </w:rPr>
        <w:t>賽66:14–24</w:t>
      </w:r>
      <w:r>
        <w:rPr>
          <w:lang w:val="zh_TW" w:bidi="zh_TW"/>
        </w:rPr>
        <w:t>）。同樣，希伯來書中有數段經文警戒那些不認真看待神話語的人，指出他們將面對屬靈的危機與神的審判（見</w:t>
      </w:r>
      <w:r>
        <w:rPr>
          <w:lang w:val="zh_TW" w:bidi="zh_TW"/>
        </w:rPr>
        <w:t>來2:1–4，</w:t>
      </w:r>
      <w:r>
        <w:rPr>
          <w:lang w:val="zh_TW" w:bidi="zh_TW"/>
        </w:rPr>
        <w:t>4:12–13，</w:t>
      </w:r>
      <w:r>
        <w:rPr>
          <w:lang w:val="zh_TW" w:bidi="zh_TW"/>
        </w:rPr>
        <w:t>6:4–8，</w:t>
      </w:r>
      <w:r>
        <w:rPr>
          <w:lang w:val="zh_TW" w:bidi="zh_TW"/>
        </w:rPr>
        <w:t>10:26–31，</w:t>
      </w:r>
      <w:r>
        <w:rPr>
          <w:lang w:val="zh_TW" w:bidi="zh_TW"/>
        </w:rPr>
        <w:t>12:25–29</w:t>
      </w:r>
      <w:r>
        <w:rPr>
          <w:lang w:val="zh_TW" w:bidi="zh_TW"/>
        </w:rPr>
        <w:t>）。</w:t>
      </w:r>
    </w:p>
    <w:p>
      <w:pPr/>
      <w:r>
        <w:rPr>
          <w:lang w:val="zh_TW" w:bidi="zh_TW"/>
        </w:rPr>
      </w:r>
      <w:r>
        <w:rPr>
          <w:lang w:val="zh_TW" w:bidi="zh_TW"/>
        </w:rPr>
        <w:t>學者們對於希伯來書中關於</w:t>
      </w:r>
      <w:r>
        <w:rPr>
          <w:i/>
          <w:lang w:val="zh_TW" w:bidi="zh_TW"/>
        </w:rPr>
        <w:t>背道</w:t>
      </w:r>
      <w:r>
        <w:rPr>
          <w:lang w:val="zh_TW" w:bidi="zh_TW"/>
        </w:rPr>
        <w:t>（</w:t>
      </w:r>
      <w:r>
        <w:rPr>
          <w:i/>
          <w:lang w:val="zh_TW" w:bidi="zh_TW"/>
        </w:rPr>
        <w:t>apostasy</w:t>
      </w:r>
      <w:r>
        <w:rPr>
          <w:lang w:val="zh_TW" w:bidi="zh_TW"/>
        </w:rPr>
        <w:t>）與審判的「警告經文」有不同的解釋：</w:t>
      </w:r>
    </w:p>
    <w:p>
      <w:pPr>
        <w:pStyle w:val="ListNumber"/>
        <w:numPr>
          <w:ilvl w:val="0"/>
          <w:numId w:val="14"/>
        </w:numPr>
        <w:spacing w:line="240" w:lineRule="auto"/>
        <w:ind w:left="720"/>
      </w:pPr>
      <w:r>
        <w:rPr>
          <w:lang w:val="zh_TW" w:bidi="zh_TW"/>
        </w:rPr>
      </w:r>
      <w:r>
        <w:rPr>
          <w:lang w:val="zh_TW" w:bidi="zh_TW"/>
        </w:rPr>
        <w:t>有些人認為這些警告是勸戒性的，目的在於喚醒聽眾脫離屬靈的怠惰，與真實的審判無關。</w:t>
      </w:r>
    </w:p>
    <w:p>
      <w:pPr>
        <w:pStyle w:val="ListNumber"/>
        <w:spacing w:line="240" w:lineRule="auto"/>
        <w:ind w:left="720"/>
      </w:pPr>
      <w:r>
        <w:rPr>
          <w:lang w:val="zh_TW" w:bidi="zh_TW"/>
        </w:rPr>
      </w:r>
      <w:r>
        <w:rPr>
          <w:lang w:val="zh_TW" w:bidi="zh_TW"/>
        </w:rPr>
        <w:t>另一種觀點認為作者的對象是尚未歸信基督的猶太人。他們因尚未成為新約（神藉著耶穌基督與人所立的新約定或應許）的一分子而處在神的審判之下。</w:t>
      </w:r>
    </w:p>
    <w:p>
      <w:pPr>
        <w:pStyle w:val="ListNumber"/>
        <w:spacing w:line="240" w:lineRule="auto"/>
        <w:ind w:left="720"/>
      </w:pPr>
      <w:r>
        <w:rPr>
          <w:lang w:val="zh_TW" w:bidi="zh_TW"/>
        </w:rPr>
      </w:r>
      <w:r>
        <w:rPr>
          <w:lang w:val="zh_TW" w:bidi="zh_TW"/>
        </w:rPr>
        <w:t>第三種觀點認為這些所謂的「背道者（或譯：悖逆的人）」是已經歸信的基督徒，但由於他們屬靈的光景出了問題，將會遭遇神某種形式的審判，但這並不代表他們會失去救恩。</w:t>
      </w:r>
    </w:p>
    <w:p>
      <w:pPr>
        <w:pStyle w:val="ListNumber"/>
        <w:spacing w:line="240" w:lineRule="auto"/>
        <w:ind w:left="720"/>
      </w:pPr>
      <w:r>
        <w:rPr>
          <w:lang w:val="zh_TW" w:bidi="zh_TW"/>
        </w:rPr>
      </w:r>
      <w:r>
        <w:rPr>
          <w:lang w:val="zh_TW" w:bidi="zh_TW"/>
        </w:rPr>
        <w:t>第四種觀點認為，背道者曾經是基督徒群體中真實的信徒，確實經歷過信仰，卻最終背棄了耶穌和教會。</w:t>
      </w:r>
    </w:p>
    <w:p>
      <w:pPr>
        <w:pStyle w:val="ListNumber"/>
        <w:spacing w:line="240" w:lineRule="auto"/>
        <w:ind w:left="720"/>
      </w:pPr>
      <w:r>
        <w:rPr>
          <w:lang w:val="zh_TW" w:bidi="zh_TW"/>
        </w:rPr>
      </w:r>
      <w:r>
        <w:rPr>
          <w:lang w:val="zh_TW" w:bidi="zh_TW"/>
        </w:rPr>
        <w:t>第五種觀點則主張，背道者從來就不是真正的信徒；他們背棄信仰只是顯明他們一開始就沒有真正的認識耶穌。</w:t>
      </w:r>
    </w:p>
    <w:p>
      <w:pPr/>
      <w:r>
        <w:rPr>
          <w:lang w:val="zh_TW" w:bidi="zh_TW"/>
        </w:rPr>
      </w:r>
      <w:r>
        <w:rPr>
          <w:lang w:val="zh_TW" w:bidi="zh_TW"/>
        </w:rPr>
        <w:t>對將來審判的警告是為了彰顯神的恩典。其目的是引導悖逆的人回轉歸向神的道路。明白離棄信仰所帶來的後果，有助於堅定我們忠心跟隨耶穌的決心。</w:t>
      </w:r>
    </w:p>
    <w:p>
      <w:pPr/>
      <w:r>
        <w:rPr>
          <w:lang w:val="zh_TW" w:bidi="zh_TW"/>
        </w:rPr>
      </w:r>
      <w:r>
        <w:rPr>
          <w:u w:val="single"/>
          <w:lang w:val="zh_TW" w:bidi="zh_TW"/>
        </w:rPr>
        <w:t>進深研究的經文段落</w:t>
      </w:r>
    </w:p>
    <w:p>
      <w:pPr/>
      <w:r>
        <w:rPr>
          <w:lang w:val="zh_TW" w:bidi="zh_TW"/>
        </w:rPr>
      </w:r>
      <w:r>
        <w:rPr>
          <w:lang w:val="zh_TW" w:bidi="zh_TW"/>
        </w:rPr>
        <w:t>民16:1–50；</w:t>
      </w:r>
      <w:r>
        <w:rPr>
          <w:lang w:val="zh_TW" w:bidi="zh_TW"/>
        </w:rPr>
        <w:t>申13:1–18；</w:t>
      </w:r>
      <w:r>
        <w:rPr>
          <w:lang w:val="zh_TW" w:bidi="zh_TW"/>
        </w:rPr>
        <w:t>王下17:5–23；</w:t>
      </w:r>
      <w:r>
        <w:rPr>
          <w:lang w:val="zh_TW" w:bidi="zh_TW"/>
        </w:rPr>
        <w:t>結8:1–18；</w:t>
      </w:r>
      <w:r>
        <w:rPr>
          <w:lang w:val="zh_TW" w:bidi="zh_TW"/>
        </w:rPr>
        <w:t>太24:10–13；</w:t>
      </w:r>
      <w:r>
        <w:rPr>
          <w:lang w:val="zh_TW" w:bidi="zh_TW"/>
        </w:rPr>
        <w:t>加1:6–9；</w:t>
      </w:r>
      <w:r>
        <w:rPr>
          <w:lang w:val="zh_TW" w:bidi="zh_TW"/>
        </w:rPr>
        <w:t>提後3:1–9；</w:t>
      </w:r>
      <w:r>
        <w:rPr>
          <w:lang w:val="zh_TW" w:bidi="zh_TW"/>
        </w:rPr>
        <w:t>來2:1–4</w:t>
      </w:r>
      <w:r>
        <w:rPr>
          <w:lang w:val="zh_TW" w:bidi="zh_TW"/>
        </w:rPr>
        <w:t>，</w:t>
      </w:r>
      <w:r>
        <w:rPr>
          <w:lang w:val="zh_TW" w:bidi="zh_TW"/>
        </w:rPr>
        <w:t>6:4–8</w:t>
      </w:r>
      <w:r>
        <w:rPr>
          <w:lang w:val="zh_TW" w:bidi="zh_TW"/>
        </w:rPr>
        <w:t>，</w:t>
      </w:r>
      <w:r>
        <w:rPr>
          <w:lang w:val="zh_TW" w:bidi="zh_TW"/>
        </w:rPr>
        <w:t>10:26–31；</w:t>
      </w:r>
      <w:r>
        <w:rPr>
          <w:lang w:val="zh_TW" w:bidi="zh_TW"/>
        </w:rPr>
        <w:t>彼後2:1–22；</w:t>
      </w:r>
      <w:r>
        <w:rPr>
          <w:lang w:val="zh_TW" w:bidi="zh_TW"/>
        </w:rPr>
        <w:t>約一2:18–19</w:t>
      </w:r>
      <w:r>
        <w:rPr>
          <w:lang w:val="zh_TW" w:bidi="zh_TW"/>
        </w:rPr>
      </w:r>
      <w:r>
        <w:rPr>
          <w:lang w:val="zh_TW" w:bidi="zh_TW"/>
        </w:rPr>
      </w:r>
    </w:p>
    <w:p>
      <w:pPr/>
      <w:r>
        <w:rPr>
          <w:lang w:val="zh_TW" w:bidi="zh_TW"/>
        </w:rPr>
      </w:r>
    </w:p>
    <w:p>
      <w:pPr>
        <w:pStyle w:val="Heading2"/>
      </w:pPr>
      <w:r>
        <w:rPr>
          <w:lang w:val="zh_TW" w:bidi="zh_TW"/>
        </w:rPr>
        <w:t>背道和復興</w:t>
      </w:r>
      <w:r>
        <w:rPr>
          <w:lang w:val="zh_TW" w:bidi="zh_TW"/>
        </w:rPr>
      </w:r>
    </w:p>
    <w:p>
      <w:pPr/>
      <w:r>
        <w:rPr>
          <w:lang w:val="zh_TW" w:bidi="zh_TW"/>
        </w:rPr>
      </w:r>
      <w:r>
        <w:rPr>
          <w:lang w:val="zh_TW" w:bidi="zh_TW"/>
        </w:rPr>
        <w:t>在以色列國分裂時期，人們常常認為北國以色列是不忠的，而南國猶大則是忠於神的。當耶羅波安建立北國時，許多義人為了遠離他的惡行而遷往猶大（</w:t>
      </w:r>
      <w:r>
        <w:rPr>
          <w:lang w:val="zh_TW" w:bidi="zh_TW"/>
        </w:rPr>
        <w:t>代下11:13–17</w:t>
      </w:r>
      <w:r>
        <w:rPr>
          <w:lang w:val="zh_TW" w:bidi="zh_TW"/>
        </w:rPr>
        <w:t>）。然而，南國後來也漸漸離棄對神的信靠。</w:t>
      </w:r>
    </w:p>
    <w:p>
      <w:pPr/>
      <w:r>
        <w:rPr>
          <w:lang w:val="zh_TW" w:bidi="zh_TW"/>
        </w:rPr>
      </w:r>
      <w:r>
        <w:rPr>
          <w:lang w:val="zh_TW" w:bidi="zh_TW"/>
        </w:rPr>
        <w:t>亞哈斯王變得與耶羅波安一樣：</w:t>
      </w:r>
    </w:p>
    <w:p>
      <w:pPr>
        <w:pStyle w:val="ListNumber"/>
        <w:numPr>
          <w:ilvl w:val="0"/>
          <w:numId w:val="15"/>
        </w:numPr>
        <w:spacing w:line="240" w:lineRule="auto"/>
        <w:ind w:left="720"/>
      </w:pPr>
      <w:r>
        <w:rPr>
          <w:lang w:val="zh_TW" w:bidi="zh_TW"/>
        </w:rPr>
      </w:r>
      <w:r>
        <w:rPr>
          <w:lang w:val="zh_TW" w:bidi="zh_TW"/>
        </w:rPr>
        <w:t>他製造了金屬偶像（</w:t>
      </w:r>
      <w:r>
        <w:rPr>
          <w:lang w:val="zh_TW" w:bidi="zh_TW"/>
        </w:rPr>
        <w:t>28:2</w:t>
      </w:r>
      <w:r>
        <w:rPr>
          <w:lang w:val="zh_TW" w:bidi="zh_TW"/>
        </w:rPr>
        <w:t>）。</w:t>
      </w:r>
    </w:p>
    <w:p>
      <w:pPr>
        <w:pStyle w:val="ListNumber"/>
        <w:spacing w:line="240" w:lineRule="auto"/>
        <w:ind w:left="720"/>
      </w:pPr>
      <w:r>
        <w:rPr>
          <w:lang w:val="zh_TW" w:bidi="zh_TW"/>
        </w:rPr>
      </w:r>
      <w:r>
        <w:rPr>
          <w:lang w:val="zh_TW" w:bidi="zh_TW"/>
        </w:rPr>
        <w:t>他敬拜大馬士革的神明（</w:t>
      </w:r>
      <w:r>
        <w:rPr>
          <w:lang w:val="zh_TW" w:bidi="zh_TW"/>
        </w:rPr>
        <w:t>28:23</w:t>
      </w:r>
      <w:r>
        <w:rPr>
          <w:lang w:val="zh_TW" w:bidi="zh_TW"/>
        </w:rPr>
        <w:t>）。</w:t>
      </w:r>
    </w:p>
    <w:p>
      <w:pPr>
        <w:pStyle w:val="ListNumber"/>
        <w:spacing w:line="240" w:lineRule="auto"/>
        <w:ind w:left="720"/>
      </w:pPr>
      <w:r>
        <w:rPr>
          <w:lang w:val="zh_TW" w:bidi="zh_TW"/>
        </w:rPr>
      </w:r>
      <w:r>
        <w:rPr>
          <w:lang w:val="zh_TW" w:bidi="zh_TW"/>
        </w:rPr>
        <w:t>他忽視聖殿（</w:t>
      </w:r>
      <w:r>
        <w:rPr>
          <w:lang w:val="zh_TW" w:bidi="zh_TW"/>
        </w:rPr>
        <w:t>28:24</w:t>
      </w:r>
      <w:r>
        <w:rPr>
          <w:lang w:val="zh_TW" w:bidi="zh_TW"/>
        </w:rPr>
        <w:t>，</w:t>
      </w:r>
      <w:r>
        <w:rPr>
          <w:lang w:val="zh_TW" w:bidi="zh_TW"/>
        </w:rPr>
        <w:t>29:7</w:t>
      </w:r>
      <w:r>
        <w:rPr>
          <w:lang w:val="zh_TW" w:bidi="zh_TW"/>
        </w:rPr>
        <w:t>、</w:t>
      </w:r>
      <w:r>
        <w:rPr>
          <w:lang w:val="zh_TW" w:bidi="zh_TW"/>
        </w:rPr>
        <w:t>19</w:t>
      </w:r>
      <w:r>
        <w:rPr>
          <w:lang w:val="zh_TW" w:bidi="zh_TW"/>
        </w:rPr>
        <w:t>）。</w:t>
      </w:r>
    </w:p>
    <w:p>
      <w:pPr>
        <w:pStyle w:val="ListNumber"/>
        <w:spacing w:line="240" w:lineRule="auto"/>
        <w:ind w:left="720"/>
      </w:pPr>
      <w:r>
        <w:rPr>
          <w:lang w:val="zh_TW" w:bidi="zh_TW"/>
        </w:rPr>
      </w:r>
      <w:r>
        <w:rPr>
          <w:lang w:val="zh_TW" w:bidi="zh_TW"/>
        </w:rPr>
        <w:t>他推動虛假的敬拜（</w:t>
      </w:r>
      <w:r>
        <w:rPr>
          <w:lang w:val="zh_TW" w:bidi="zh_TW"/>
        </w:rPr>
        <w:t>28:24–25</w:t>
      </w:r>
      <w:r>
        <w:rPr>
          <w:lang w:val="zh_TW" w:bidi="zh_TW"/>
        </w:rPr>
        <w:t>）。</w:t>
      </w:r>
    </w:p>
    <w:p>
      <w:pPr>
        <w:pStyle w:val="ListNumber"/>
        <w:spacing w:line="240" w:lineRule="auto"/>
        <w:ind w:left="720"/>
      </w:pPr>
      <w:r>
        <w:rPr>
          <w:lang w:val="zh_TW" w:bidi="zh_TW"/>
        </w:rPr>
      </w:r>
      <w:r>
        <w:rPr>
          <w:lang w:val="zh_TW" w:bidi="zh_TW"/>
        </w:rPr>
        <w:t>他的不忠如此嚴重，以致當時北國的義行甚至超過猶大（見</w:t>
      </w:r>
      <w:r>
        <w:rPr>
          <w:lang w:val="zh_TW" w:bidi="zh_TW"/>
        </w:rPr>
        <w:t>28:9–15</w:t>
      </w:r>
      <w:r>
        <w:rPr>
          <w:lang w:val="zh_TW" w:bidi="zh_TW"/>
        </w:rPr>
        <w:t>）。</w:t>
      </w:r>
    </w:p>
    <w:p>
      <w:pPr/>
      <w:r>
        <w:rPr>
          <w:lang w:val="zh_TW" w:bidi="zh_TW"/>
        </w:rPr>
      </w:r>
      <w:r>
        <w:rPr>
          <w:lang w:val="zh_TW" w:bidi="zh_TW"/>
        </w:rPr>
        <w:t>歷代志作者撰寫的目的是為了激發人對神有朝一日會恢復猶大的盼望。他指出神總是赦免那些悔改的人。悔改可以帶來復興和與神和好（締造平安）的關係。這一點可從北國領袖在面對先知責備他們得勝軍隊時的反應中看見（</w:t>
      </w:r>
      <w:r>
        <w:rPr>
          <w:lang w:val="zh_TW" w:bidi="zh_TW"/>
        </w:rPr>
        <w:t>28:8–15</w:t>
      </w:r>
      <w:r>
        <w:rPr>
          <w:lang w:val="zh_TW" w:bidi="zh_TW"/>
        </w:rPr>
        <w:t>）。</w:t>
      </w:r>
    </w:p>
    <w:p>
      <w:pPr/>
      <w:r>
        <w:rPr>
          <w:lang w:val="zh_TW" w:bidi="zh_TW"/>
        </w:rPr>
      </w:r>
      <w:r>
        <w:rPr>
          <w:lang w:val="zh_TW" w:bidi="zh_TW"/>
        </w:rPr>
        <w:t>猶大在希西家王治理下的復興，也成為恢復與合一的典範，這也類似於所羅門王時代的榮景。希西家在登基的第一年，就著手修復聖殿 （</w:t>
      </w:r>
      <w:r>
        <w:rPr>
          <w:lang w:val="zh_TW" w:bidi="zh_TW"/>
        </w:rPr>
        <w:t>29:3</w:t>
      </w:r>
      <w:r>
        <w:rPr>
          <w:lang w:val="zh_TW" w:bidi="zh_TW"/>
        </w:rPr>
        <w:t>）。當希西家慶祝逾越節時，他邀請北國的百姓一同參與，顯明兩國可以在神所揀選的地方共同敬拜 （</w:t>
      </w:r>
      <w:r>
        <w:rPr>
          <w:lang w:val="zh_TW" w:bidi="zh_TW"/>
        </w:rPr>
        <w:t>30:18–20</w:t>
      </w:r>
      <w:r>
        <w:rPr>
          <w:lang w:val="zh_TW" w:bidi="zh_TW"/>
        </w:rPr>
        <w:t>）。他一度恢復了所羅門時代的榮耀（</w:t>
      </w:r>
      <w:r>
        <w:rPr>
          <w:lang w:val="zh_TW" w:bidi="zh_TW"/>
        </w:rPr>
        <w:t>30:26</w:t>
      </w:r>
      <w:r>
        <w:rPr>
          <w:lang w:val="zh_TW" w:bidi="zh_TW"/>
        </w:rPr>
        <w:t>；參</w:t>
      </w:r>
      <w:r>
        <w:rPr>
          <w:lang w:val="zh_TW" w:bidi="zh_TW"/>
        </w:rPr>
        <w:t>7:8–10</w:t>
      </w:r>
      <w:r>
        <w:rPr>
          <w:lang w:val="zh_TW" w:bidi="zh_TW"/>
        </w:rPr>
        <w:t>）。</w:t>
      </w:r>
    </w:p>
    <w:p>
      <w:pPr/>
      <w:r>
        <w:rPr>
          <w:lang w:val="zh_TW" w:bidi="zh_TW"/>
        </w:rPr>
      </w:r>
      <w:r>
        <w:rPr>
          <w:lang w:val="zh_TW" w:bidi="zh_TW"/>
        </w:rPr>
        <w:t>以色列被擄離開應許之地，並未結束神與祂立約子民的關係。若人們願意尋求耶和華，屬靈的醫治永遠都有可能——不論是帶著戰利品歸回，或是重新在逾越節聚集敬拜。舊約中許多警戒悖逆的猶大或以色列的先知，也都預言了未來的復興與歸回。</w:t>
      </w:r>
    </w:p>
    <w:p>
      <w:pPr/>
      <w:r>
        <w:rPr>
          <w:lang w:val="zh_TW" w:bidi="zh_TW"/>
        </w:rPr>
      </w:r>
      <w:r>
        <w:rPr>
          <w:lang w:val="zh_TW" w:bidi="zh_TW"/>
        </w:rPr>
        <w:t>這復興的盼望同樣適用於教會，即使教會遭遇死亡般的逼迫（因信仰而受到攻擊）或墮落敗壞，盼望仍不止息（見</w:t>
      </w:r>
      <w:r>
        <w:rPr>
          <w:lang w:val="zh_TW" w:bidi="zh_TW"/>
        </w:rPr>
        <w:t>啟2–3章</w:t>
      </w:r>
      <w:r>
        <w:rPr>
          <w:lang w:val="zh_TW" w:bidi="zh_TW"/>
        </w:rPr>
        <w:t>）。神的國建立在祂信實的應許之上，如同堅固的「磐石」（見</w:t>
      </w:r>
      <w:r>
        <w:rPr>
          <w:lang w:val="zh_TW" w:bidi="zh_TW"/>
        </w:rPr>
        <w:t>太16:18</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王上21:1–29；</w:t>
      </w:r>
      <w:r>
        <w:rPr>
          <w:lang w:val="zh_TW" w:bidi="zh_TW"/>
        </w:rPr>
        <w:t>代下11:13–17</w:t>
      </w:r>
      <w:r>
        <w:rPr>
          <w:lang w:val="zh_TW" w:bidi="zh_TW"/>
        </w:rPr>
        <w:t>，</w:t>
      </w:r>
      <w:r>
        <w:rPr>
          <w:lang w:val="zh_TW" w:bidi="zh_TW"/>
        </w:rPr>
        <w:t>28:1–31:21</w:t>
      </w:r>
      <w:r>
        <w:rPr>
          <w:lang w:val="zh_TW" w:bidi="zh_TW"/>
        </w:rPr>
        <w:t>，</w:t>
      </w:r>
      <w:r>
        <w:rPr>
          <w:lang w:val="zh_TW" w:bidi="zh_TW"/>
        </w:rPr>
        <w:t>33:1–20；</w:t>
      </w:r>
      <w:r>
        <w:rPr>
          <w:lang w:val="zh_TW" w:bidi="zh_TW"/>
        </w:rPr>
        <w:t>耶18:7–17；</w:t>
      </w:r>
      <w:r>
        <w:rPr>
          <w:lang w:val="zh_TW" w:bidi="zh_TW"/>
        </w:rPr>
        <w:t>結16:1–63</w:t>
      </w:r>
      <w:r>
        <w:rPr>
          <w:lang w:val="zh_TW" w:bidi="zh_TW"/>
        </w:rPr>
        <w:t>，</w:t>
      </w:r>
      <w:r>
        <w:rPr>
          <w:lang w:val="zh_TW" w:bidi="zh_TW"/>
        </w:rPr>
        <w:t>33:10–16；</w:t>
      </w:r>
      <w:r>
        <w:rPr>
          <w:lang w:val="zh_TW" w:bidi="zh_TW"/>
        </w:rPr>
        <w:t>珥2:12–32；</w:t>
      </w:r>
      <w:r>
        <w:rPr>
          <w:lang w:val="zh_TW" w:bidi="zh_TW"/>
        </w:rPr>
        <w:t>路19:2–10；</w:t>
      </w:r>
      <w:r>
        <w:rPr>
          <w:lang w:val="zh_TW" w:bidi="zh_TW"/>
        </w:rPr>
        <w:t>林前6:9–11；</w:t>
      </w:r>
      <w:r>
        <w:rPr>
          <w:lang w:val="zh_TW" w:bidi="zh_TW"/>
        </w:rPr>
        <w:t>提前1:15–17</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