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fang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放棄權利</w:t>
      </w:r>
      <w:r>
        <w:rPr>
          <w:lang w:val="zh_TW" w:bidi="zh_TW"/>
        </w:rPr>
      </w:r>
    </w:p>
    <w:p>
      <w:pPr/>
      <w:r>
        <w:rPr>
          <w:lang w:val="zh_TW" w:bidi="zh_TW"/>
        </w:rPr>
      </w:r>
      <w:r>
        <w:rPr>
          <w:lang w:val="zh_TW" w:bidi="zh_TW"/>
        </w:rPr>
        <w:t>使徒保羅從未教導基督徒要為自己爭取權利。相反，他強調基督徒應當願意為他人的益處放棄自己的權利。基督徒不受許多其他人遵循的規則約束，但若某些自由的行為可能導致他人犯罪，他們就應當甘心放棄這些自由（</w:t>
      </w:r>
      <w:r>
        <w:rPr>
          <w:lang w:val="zh_TW" w:bidi="zh_TW"/>
        </w:rPr>
        <w:t>羅14:13–23</w:t>
      </w:r>
      <w:r>
        <w:rPr>
          <w:lang w:val="zh_TW" w:bidi="zh_TW"/>
        </w:rPr>
        <w:t>；</w:t>
      </w:r>
      <w:r>
        <w:rPr>
          <w:lang w:val="zh_TW" w:bidi="zh_TW"/>
        </w:rPr>
        <w:t>林前8:1–13，</w:t>
      </w:r>
      <w:r>
        <w:rPr>
          <w:lang w:val="zh_TW" w:bidi="zh_TW"/>
        </w:rPr>
        <w:t>10:23–33</w:t>
      </w:r>
      <w:r>
        <w:rPr>
          <w:lang w:val="zh_TW" w:bidi="zh_TW"/>
        </w:rPr>
        <w:t>）。保羅認為，為自己爭取權利並無多大價值。</w:t>
      </w:r>
    </w:p>
    <w:p>
      <w:pPr/>
      <w:r>
        <w:rPr>
          <w:lang w:val="zh_TW" w:bidi="zh_TW"/>
        </w:rPr>
      </w:r>
      <w:r>
        <w:rPr>
          <w:lang w:val="zh_TW" w:bidi="zh_TW"/>
        </w:rPr>
        <w:t>保羅與耶穌一樣，都視愛人為人生的核心準則（</w:t>
      </w:r>
      <w:r>
        <w:rPr>
          <w:lang w:val="zh_TW" w:bidi="zh_TW"/>
        </w:rPr>
        <w:t>羅13:8–10</w:t>
      </w:r>
      <w:r>
        <w:rPr>
          <w:lang w:val="zh_TW" w:bidi="zh_TW"/>
        </w:rPr>
        <w:t>；</w:t>
      </w:r>
      <w:r>
        <w:rPr>
          <w:lang w:val="zh_TW" w:bidi="zh_TW"/>
        </w:rPr>
        <w:t>林前13:1–13</w:t>
      </w:r>
      <w:r>
        <w:rPr>
          <w:lang w:val="zh_TW" w:bidi="zh_TW"/>
        </w:rPr>
        <w:t>；</w:t>
      </w:r>
      <w:r>
        <w:rPr>
          <w:lang w:val="zh_TW" w:bidi="zh_TW"/>
        </w:rPr>
        <w:t>加5:6</w:t>
      </w:r>
      <w:r>
        <w:rPr>
          <w:lang w:val="zh_TW" w:bidi="zh_TW"/>
        </w:rPr>
        <w:t>；見</w:t>
      </w:r>
      <w:r>
        <w:rPr>
          <w:lang w:val="zh_TW" w:bidi="zh_TW"/>
        </w:rPr>
        <w:t>太5:43–44，</w:t>
      </w:r>
      <w:r>
        <w:rPr>
          <w:lang w:val="zh_TW" w:bidi="zh_TW"/>
        </w:rPr>
        <w:t>22:36–39</w:t>
      </w:r>
      <w:r>
        <w:rPr>
          <w:lang w:val="zh_TW" w:bidi="zh_TW"/>
        </w:rPr>
        <w:t>）。真正基督徒的愛總是願意犧牲的，就像基督的愛一樣（</w:t>
      </w:r>
      <w:r>
        <w:rPr>
          <w:lang w:val="zh_TW" w:bidi="zh_TW"/>
        </w:rPr>
        <w:t>林前13:4–7</w:t>
      </w:r>
      <w:r>
        <w:rPr>
          <w:lang w:val="zh_TW" w:bidi="zh_TW"/>
        </w:rPr>
        <w:t>）。基督徒應當注重他人的益處，而非只顧自己（</w:t>
      </w:r>
      <w:r>
        <w:rPr>
          <w:lang w:val="zh_TW" w:bidi="zh_TW"/>
        </w:rPr>
        <w:t>林前10:32–33</w:t>
      </w:r>
      <w:r>
        <w:rPr>
          <w:lang w:val="zh_TW" w:bidi="zh_TW"/>
        </w:rPr>
        <w:t>）。基督為罪人捨命，彰顯何為真正的愛（</w:t>
      </w:r>
      <w:r>
        <w:rPr>
          <w:lang w:val="zh_TW" w:bidi="zh_TW"/>
        </w:rPr>
        <w:t>羅5:6–8，</w:t>
      </w:r>
      <w:r>
        <w:rPr>
          <w:lang w:val="zh_TW" w:bidi="zh_TW"/>
        </w:rPr>
        <w:t>15:1–5</w:t>
      </w:r>
      <w:r>
        <w:rPr>
          <w:lang w:val="zh_TW" w:bidi="zh_TW"/>
        </w:rPr>
        <w:t>；</w:t>
      </w:r>
      <w:r>
        <w:rPr>
          <w:lang w:val="zh_TW" w:bidi="zh_TW"/>
        </w:rPr>
        <w:t>約一4:9–12</w:t>
      </w:r>
      <w:r>
        <w:rPr>
          <w:lang w:val="zh_TW" w:bidi="zh_TW"/>
        </w:rPr>
        <w:t>）。基督徒的生命應當活出基督犧牲的愛。這並不容易，因為它要求人否定自己的私慾（見</w:t>
      </w:r>
      <w:r>
        <w:rPr>
          <w:lang w:val="zh_TW" w:bidi="zh_TW"/>
        </w:rPr>
        <w:t>可8:34–35</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太5:38–48</w:t>
      </w:r>
      <w:r>
        <w:rPr>
          <w:lang w:val="zh_TW" w:bidi="zh_TW"/>
        </w:rPr>
        <w:t>，</w:t>
      </w:r>
      <w:r>
        <w:rPr>
          <w:lang w:val="zh_TW" w:bidi="zh_TW"/>
        </w:rPr>
        <w:t>16:24–27</w:t>
      </w:r>
      <w:r>
        <w:rPr>
          <w:lang w:val="zh_TW" w:bidi="zh_TW"/>
        </w:rPr>
        <w:t>，</w:t>
      </w:r>
      <w:r>
        <w:rPr>
          <w:lang w:val="zh_TW" w:bidi="zh_TW"/>
        </w:rPr>
        <w:t>22:37–39</w:t>
      </w:r>
      <w:r>
        <w:rPr>
          <w:lang w:val="zh_TW" w:bidi="zh_TW"/>
        </w:rPr>
        <w:t>；</w:t>
      </w:r>
      <w:r>
        <w:rPr>
          <w:lang w:val="zh_TW" w:bidi="zh_TW"/>
        </w:rPr>
        <w:t>羅5:6–8</w:t>
      </w:r>
      <w:r>
        <w:rPr>
          <w:lang w:val="zh_TW" w:bidi="zh_TW"/>
        </w:rPr>
        <w:t>，</w:t>
      </w:r>
      <w:r>
        <w:rPr>
          <w:lang w:val="zh_TW" w:bidi="zh_TW"/>
        </w:rPr>
        <w:t>13:8–10</w:t>
      </w:r>
      <w:r>
        <w:rPr>
          <w:lang w:val="zh_TW" w:bidi="zh_TW"/>
        </w:rPr>
        <w:t>，</w:t>
      </w:r>
      <w:r>
        <w:rPr>
          <w:lang w:val="zh_TW" w:bidi="zh_TW"/>
        </w:rPr>
        <w:t>14:15–22</w:t>
      </w:r>
      <w:r>
        <w:rPr>
          <w:lang w:val="zh_TW" w:bidi="zh_TW"/>
        </w:rPr>
        <w:t>，</w:t>
      </w:r>
      <w:r>
        <w:rPr>
          <w:lang w:val="zh_TW" w:bidi="zh_TW"/>
        </w:rPr>
        <w:t>15:1–5</w:t>
      </w:r>
      <w:r>
        <w:rPr>
          <w:lang w:val="zh_TW" w:bidi="zh_TW"/>
        </w:rPr>
        <w:t>；</w:t>
      </w:r>
      <w:r>
        <w:rPr>
          <w:lang w:val="zh_TW" w:bidi="zh_TW"/>
        </w:rPr>
        <w:t>林前8:1–13</w:t>
      </w:r>
      <w:r>
        <w:rPr>
          <w:lang w:val="zh_TW" w:bidi="zh_TW"/>
        </w:rPr>
        <w:t>，</w:t>
      </w:r>
      <w:r>
        <w:rPr>
          <w:lang w:val="zh_TW" w:bidi="zh_TW"/>
        </w:rPr>
        <w:t>9:1–23</w:t>
      </w:r>
      <w:r>
        <w:rPr>
          <w:lang w:val="zh_TW" w:bidi="zh_TW"/>
        </w:rPr>
        <w:t>，</w:t>
      </w:r>
      <w:r>
        <w:rPr>
          <w:lang w:val="zh_TW" w:bidi="zh_TW"/>
        </w:rPr>
        <w:t>10:23–24</w:t>
      </w:r>
      <w:r>
        <w:rPr>
          <w:lang w:val="zh_TW" w:bidi="zh_TW"/>
        </w:rPr>
        <w:t>、</w:t>
      </w:r>
      <w:r>
        <w:rPr>
          <w:lang w:val="zh_TW" w:bidi="zh_TW"/>
        </w:rPr>
        <w:t>31–33，</w:t>
      </w:r>
      <w:r>
        <w:rPr>
          <w:lang w:val="zh_TW" w:bidi="zh_TW"/>
        </w:rPr>
        <w:t>13:4–7</w:t>
      </w:r>
      <w:r>
        <w:rPr>
          <w:lang w:val="zh_TW" w:bidi="zh_TW"/>
        </w:rPr>
        <w:t>；</w:t>
      </w:r>
      <w:r>
        <w:rPr>
          <w:lang w:val="zh_TW" w:bidi="zh_TW"/>
        </w:rPr>
        <w:t>加5:6</w:t>
      </w:r>
      <w:r>
        <w:rPr>
          <w:lang w:val="zh_TW" w:bidi="zh_TW"/>
        </w:rPr>
        <w:t>；</w:t>
      </w:r>
      <w:r>
        <w:rPr>
          <w:lang w:val="zh_TW" w:bidi="zh_TW"/>
        </w:rPr>
        <w:t>腓2:3–4</w:t>
      </w:r>
      <w:r>
        <w:rPr>
          <w:lang w:val="zh_TW" w:bidi="zh_TW"/>
        </w:rPr>
        <w:t>；</w:t>
      </w:r>
      <w:r>
        <w:rPr>
          <w:lang w:val="zh_TW" w:bidi="zh_TW"/>
        </w:rPr>
        <w:t>提後2:9–13</w:t>
      </w:r>
      <w:r>
        <w:rPr>
          <w:lang w:val="zh_TW" w:bidi="zh_TW"/>
        </w:rPr>
        <w:t>；</w:t>
      </w:r>
      <w:r>
        <w:rPr>
          <w:lang w:val="zh_TW" w:bidi="zh_TW"/>
        </w:rPr>
        <w:t>來11:24–26</w:t>
      </w:r>
      <w:r>
        <w:rPr>
          <w:lang w:val="zh_TW" w:bidi="zh_TW"/>
        </w:rPr>
        <w:t>；</w:t>
      </w:r>
      <w:r>
        <w:rPr>
          <w:lang w:val="zh_TW" w:bidi="zh_TW"/>
        </w:rPr>
        <w:t>約一4:9–12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