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gong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工作與恩惠文化</w:t>
      </w:r>
      <w:r>
        <w:rPr>
          <w:lang w:val="zh_TW" w:bidi="zh_TW"/>
        </w:rPr>
      </w:r>
    </w:p>
    <w:p>
      <w:pPr/>
      <w:r>
        <w:rPr>
          <w:lang w:val="zh_TW" w:bidi="zh_TW"/>
        </w:rPr>
      </w:r>
      <w:r>
        <w:rPr>
          <w:lang w:val="zh_TW" w:bidi="zh_TW"/>
        </w:rPr>
        <w:t>保羅第一次造訪帖撒羅尼迦城時，他教導新信徒應透過工作賺取自己的金錢，而不是依賴他人的支持與供養。</w:t>
      </w:r>
    </w:p>
    <w:p>
      <w:pPr/>
      <w:r>
        <w:rPr>
          <w:lang w:val="zh_TW" w:bidi="zh_TW"/>
        </w:rPr>
      </w:r>
      <w:r>
        <w:rPr>
          <w:lang w:val="zh_TW" w:bidi="zh_TW"/>
        </w:rPr>
        <w:t>有些帖撒羅尼迦人拒絕工作。保羅在他的第一封信中提到這些懶惰的基督徒，但他們並沒有因此改變（</w:t>
      </w:r>
      <w:r>
        <w:rPr>
          <w:lang w:val="zh_TW" w:bidi="zh_TW"/>
        </w:rPr>
        <w:t>帖前4:11–12</w:t>
      </w:r>
      <w:r>
        <w:rPr>
          <w:lang w:val="zh_TW" w:bidi="zh_TW"/>
        </w:rPr>
        <w:t>，</w:t>
      </w:r>
      <w:r>
        <w:rPr>
          <w:lang w:val="zh_TW" w:bidi="zh_TW"/>
        </w:rPr>
        <w:t>5:14</w:t>
      </w:r>
      <w:r>
        <w:rPr>
          <w:lang w:val="zh_TW" w:bidi="zh_TW"/>
        </w:rPr>
        <w:t>）。他們為什麼拒絕工作呢？可能是他們預期主很快會再來，所以就停止工作。然而，保羅關於主再來的教導從未與他關於工作重要性的基本教導衝突（</w:t>
      </w:r>
      <w:r>
        <w:rPr>
          <w:lang w:val="zh_TW" w:bidi="zh_TW"/>
        </w:rPr>
        <w:t>帖後3:6</w:t>
      </w:r>
      <w:r>
        <w:rPr>
          <w:lang w:val="zh_TW" w:bidi="zh_TW"/>
        </w:rPr>
        <w:t>、</w:t>
      </w:r>
      <w:r>
        <w:rPr>
          <w:lang w:val="zh_TW" w:bidi="zh_TW"/>
        </w:rPr>
        <w:t>10</w:t>
      </w:r>
      <w:r>
        <w:rPr>
          <w:lang w:val="zh_TW" w:bidi="zh_TW"/>
        </w:rPr>
        <w:t>）。</w:t>
      </w:r>
    </w:p>
    <w:p>
      <w:pPr/>
      <w:r>
        <w:rPr>
          <w:lang w:val="zh_TW" w:bidi="zh_TW"/>
        </w:rPr>
      </w:r>
      <w:r>
        <w:rPr>
          <w:lang w:val="zh_TW" w:bidi="zh_TW"/>
        </w:rPr>
        <w:t>這些懶惰的基督徒可能是有影響力贊助者的受惠人（clients of influential patrons）。恩惠文化（Patronage）是羅馬經濟一個關鍵的部分。富有的贊助者經常透過提供食物、金錢或作為法庭上的公共代表來幫助許多的受惠人。擁有許多受惠人增加了贊助者的榮譽。然而，成為受惠人通常伴隨著一些社會責任，這些則是保羅希望帖撒羅尼迦的基督徒避開的。這點尤其重要，因為他們的贊助者很有可能是非基督徒。</w:t>
      </w:r>
    </w:p>
    <w:p>
      <w:pPr/>
      <w:r>
        <w:rPr>
          <w:lang w:val="zh_TW" w:bidi="zh_TW"/>
        </w:rPr>
      </w:r>
      <w:r>
        <w:rPr>
          <w:lang w:val="zh_TW" w:bidi="zh_TW"/>
        </w:rPr>
        <w:t>保羅為帖撒羅尼迦人樹立了榜樣。當他與他們在一起時，他自食其力 （</w:t>
      </w:r>
      <w:r>
        <w:rPr>
          <w:lang w:val="zh_TW" w:bidi="zh_TW"/>
        </w:rPr>
        <w:t>帖前2:9</w:t>
      </w:r>
      <w:r>
        <w:rPr>
          <w:lang w:val="zh_TW" w:bidi="zh_TW"/>
        </w:rPr>
        <w:t>；</w:t>
      </w:r>
      <w:r>
        <w:rPr>
          <w:lang w:val="zh_TW" w:bidi="zh_TW"/>
        </w:rPr>
        <w:t>帖後3:7–9</w:t>
      </w:r>
      <w:r>
        <w:rPr>
          <w:lang w:val="zh_TW" w:bidi="zh_TW"/>
        </w:rPr>
        <w:t>）。保羅遵循耶穌的教導，「工人得工價是應當的」（見</w:t>
      </w:r>
      <w:r>
        <w:rPr>
          <w:lang w:val="zh_TW" w:bidi="zh_TW"/>
        </w:rPr>
        <w:t>太10:10</w:t>
      </w:r>
      <w:r>
        <w:rPr>
          <w:lang w:val="zh_TW" w:bidi="zh_TW"/>
        </w:rPr>
        <w:t>；</w:t>
      </w:r>
      <w:r>
        <w:rPr>
          <w:lang w:val="zh_TW" w:bidi="zh_TW"/>
        </w:rPr>
        <w:t>林前9:13–16</w:t>
      </w:r>
      <w:r>
        <w:rPr>
          <w:lang w:val="zh_TW" w:bidi="zh_TW"/>
        </w:rPr>
        <w:t>），但他沒有接受帖撒羅尼迦人的物質支持（雖然他接受了腓立比人的奉獻，</w:t>
      </w:r>
      <w:r>
        <w:rPr>
          <w:lang w:val="zh_TW" w:bidi="zh_TW"/>
        </w:rPr>
        <w:t>腓4:15–16</w:t>
      </w:r>
      <w:r>
        <w:rPr>
          <w:lang w:val="zh_TW" w:bidi="zh_TW"/>
        </w:rPr>
        <w:t>）。保羅希望帖撒羅尼迦人知道他不是用「諂媚的話」來獲取金錢 （</w:t>
      </w:r>
      <w:r>
        <w:rPr>
          <w:lang w:val="zh_TW" w:bidi="zh_TW"/>
        </w:rPr>
        <w:t>帖前2:5</w:t>
      </w:r>
      <w:r>
        <w:rPr>
          <w:lang w:val="zh_TW" w:bidi="zh_TW"/>
        </w:rPr>
        <w:t>、</w:t>
      </w:r>
      <w:r>
        <w:rPr>
          <w:lang w:val="zh_TW" w:bidi="zh_TW"/>
        </w:rPr>
        <w:t>9</w:t>
      </w:r>
      <w:r>
        <w:rPr>
          <w:lang w:val="zh_TW" w:bidi="zh_TW"/>
        </w:rPr>
        <w:t>）。他希望他們能夠從他的榜樣中，學習應該如何生活。</w:t>
      </w:r>
    </w:p>
    <w:p>
      <w:pPr/>
      <w:r>
        <w:rPr>
          <w:lang w:val="zh_TW" w:bidi="zh_TW"/>
        </w:rPr>
      </w:r>
      <w:r>
        <w:rPr>
          <w:u w:val="single"/>
          <w:lang w:val="zh_TW" w:bidi="zh_TW"/>
        </w:rPr>
        <w:t>進深研究的經文段落</w:t>
      </w:r>
    </w:p>
    <w:p>
      <w:pPr/>
      <w:r>
        <w:rPr>
          <w:lang w:val="zh_TW" w:bidi="zh_TW"/>
        </w:rPr>
      </w:r>
      <w:r>
        <w:rPr>
          <w:lang w:val="zh_TW" w:bidi="zh_TW"/>
        </w:rPr>
        <w:t>太10:10</w:t>
      </w:r>
      <w:r>
        <w:rPr>
          <w:lang w:val="zh_TW" w:bidi="zh_TW"/>
        </w:rPr>
        <w:t>；</w:t>
      </w:r>
      <w:r>
        <w:rPr>
          <w:lang w:val="zh_TW" w:bidi="zh_TW"/>
        </w:rPr>
        <w:t>林前9:13–16</w:t>
      </w:r>
      <w:r>
        <w:rPr>
          <w:lang w:val="zh_TW" w:bidi="zh_TW"/>
        </w:rPr>
        <w:t>；</w:t>
      </w:r>
      <w:r>
        <w:rPr>
          <w:lang w:val="zh_TW" w:bidi="zh_TW"/>
        </w:rPr>
        <w:t>腓4:15–16</w:t>
      </w:r>
      <w:r>
        <w:rPr>
          <w:lang w:val="zh_TW" w:bidi="zh_TW"/>
        </w:rPr>
        <w:t>；</w:t>
      </w:r>
      <w:r>
        <w:rPr>
          <w:lang w:val="zh_TW" w:bidi="zh_TW"/>
        </w:rPr>
        <w:t>帖前2:5</w:t>
      </w:r>
      <w:r>
        <w:rPr>
          <w:lang w:val="zh_TW" w:bidi="zh_TW"/>
        </w:rPr>
        <w:t>、</w:t>
      </w:r>
      <w:r>
        <w:rPr>
          <w:lang w:val="zh_TW" w:bidi="zh_TW"/>
        </w:rPr>
        <w:t>9</w:t>
      </w:r>
      <w:r>
        <w:rPr>
          <w:lang w:val="zh_TW" w:bidi="zh_TW"/>
        </w:rPr>
        <w:t>，</w:t>
      </w:r>
      <w:r>
        <w:rPr>
          <w:lang w:val="zh_TW" w:bidi="zh_TW"/>
        </w:rPr>
        <w:t>4:11–12</w:t>
      </w:r>
      <w:r>
        <w:rPr>
          <w:lang w:val="zh_TW" w:bidi="zh_TW"/>
        </w:rPr>
        <w:t>，</w:t>
      </w:r>
      <w:r>
        <w:rPr>
          <w:lang w:val="zh_TW" w:bidi="zh_TW"/>
        </w:rPr>
        <w:t>5:14</w:t>
      </w:r>
      <w:r>
        <w:rPr>
          <w:lang w:val="zh_TW" w:bidi="zh_TW"/>
        </w:rPr>
        <w:t>；</w:t>
      </w:r>
      <w:r>
        <w:rPr>
          <w:lang w:val="zh_TW" w:bidi="zh_TW"/>
        </w:rPr>
        <w:t>帖後3:6–10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