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寬容</w:t>
      </w:r>
      <w:r>
        <w:rPr>
          <w:lang w:val="zh_TW" w:bidi="zh_TW"/>
        </w:rPr>
      </w:r>
    </w:p>
    <w:p>
      <w:pPr/>
      <w:r>
        <w:rPr>
          <w:lang w:val="zh_TW" w:bidi="zh_TW"/>
        </w:rPr>
      </w:r>
      <w:r>
        <w:rPr>
          <w:lang w:val="zh_TW" w:bidi="zh_TW"/>
        </w:rPr>
        <w:t>使徒保羅敦促信心軟弱和信心堅固的人之間要彼此寬容（耐心的理解）。他教導基督徒彼此接納（</w:t>
      </w:r>
      <w:r>
        <w:rPr>
          <w:lang w:val="zh_TW" w:bidi="zh_TW"/>
        </w:rPr>
        <w:t>羅14:1</w:t>
      </w:r>
      <w:r>
        <w:rPr>
          <w:lang w:val="zh_TW" w:bidi="zh_TW"/>
        </w:rPr>
        <w:t>，</w:t>
      </w:r>
      <w:r>
        <w:rPr>
          <w:lang w:val="zh_TW" w:bidi="zh_TW"/>
        </w:rPr>
        <w:t>15:7</w:t>
      </w:r>
      <w:r>
        <w:rPr>
          <w:lang w:val="zh_TW" w:bidi="zh_TW"/>
        </w:rPr>
        <w:t>）。他指示他們停止互相譴責和讓對方感到受鄙視。相反，他們應該一心一口的敬拜神（</w:t>
      </w:r>
      <w:r>
        <w:rPr>
          <w:lang w:val="zh_TW" w:bidi="zh_TW"/>
        </w:rPr>
        <w:t>羅15:6</w:t>
      </w:r>
      <w:r>
        <w:rPr>
          <w:lang w:val="zh_TW" w:bidi="zh_TW"/>
        </w:rPr>
        <w:t>）。</w:t>
      </w:r>
    </w:p>
    <w:p>
      <w:pPr/>
      <w:r>
        <w:rPr>
          <w:lang w:val="zh_TW" w:bidi="zh_TW"/>
        </w:rPr>
      </w:r>
      <w:r>
        <w:rPr>
          <w:lang w:val="zh_TW" w:bidi="zh_TW"/>
        </w:rPr>
        <w:t>保羅是在討論基督徒是否需要遵循某種舊約聖經的律例和猶太人的敬拜習俗。學者使用希臘詞</w:t>
      </w:r>
      <w:r>
        <w:rPr>
          <w:i/>
          <w:lang w:val="zh_TW" w:bidi="zh_TW"/>
        </w:rPr>
        <w:t>adiaphora</w:t>
      </w:r>
      <w:r>
        <w:rPr>
          <w:lang w:val="zh_TW" w:bidi="zh_TW"/>
        </w:rPr>
        <w:t>，意指「非必要事項」，來描述聖經既不要求也不禁止的信仰或實踐。在這些議題上，基督徒應該接受不同的意見。有時，基督徒可能覺得可以自由地做某些活動，但這樣做可能會給他人帶來困擾。在這樣的情況下，保羅建議基督徒在顧及自身需要之前，應該先考慮他人的需要（參見</w:t>
      </w:r>
      <w:r>
        <w:rPr>
          <w:lang w:val="zh_TW" w:bidi="zh_TW"/>
        </w:rPr>
        <w:t>林前8:1–13</w:t>
      </w:r>
      <w:r>
        <w:rPr>
          <w:lang w:val="zh_TW" w:bidi="zh_TW"/>
        </w:rPr>
        <w:t>）。</w:t>
      </w:r>
    </w:p>
    <w:p>
      <w:pPr/>
      <w:r>
        <w:rPr>
          <w:lang w:val="zh_TW" w:bidi="zh_TW"/>
        </w:rPr>
      </w:r>
      <w:r>
        <w:rPr>
          <w:lang w:val="zh_TW" w:bidi="zh_TW"/>
        </w:rPr>
        <w:t>保羅在面對福音受到威脅時，採取不同的寬容態度。例如，在加拉太書中，保羅透過強烈批評假教師來駁斥有關福音的錯誤教導（</w:t>
      </w:r>
      <w:r>
        <w:rPr>
          <w:lang w:val="zh_TW" w:bidi="zh_TW"/>
        </w:rPr>
        <w:t>加1:6–9</w:t>
      </w:r>
      <w:r>
        <w:rPr>
          <w:lang w:val="zh_TW" w:bidi="zh_TW"/>
        </w:rPr>
        <w:t>）。他警告讀者，接受錯誤教導將使他們與基督隔絕（</w:t>
      </w:r>
      <w:r>
        <w:rPr>
          <w:lang w:val="zh_TW" w:bidi="zh_TW"/>
        </w:rPr>
        <w:t>加5:4</w:t>
      </w:r>
      <w:r>
        <w:rPr>
          <w:lang w:val="zh_TW" w:bidi="zh_TW"/>
        </w:rPr>
        <w:t>）。</w:t>
      </w:r>
    </w:p>
    <w:p>
      <w:pPr/>
      <w:r>
        <w:rPr>
          <w:lang w:val="zh_TW" w:bidi="zh_TW"/>
        </w:rPr>
      </w:r>
      <w:r>
        <w:rPr>
          <w:lang w:val="zh_TW" w:bidi="zh_TW"/>
        </w:rPr>
        <w:t>今天，我們必須謹慎對待我們所寬容和反對的事物。基督徒應該仔細考慮他們與其他基督徒之間遇到的議題。如果我們堅守耶穌福音的基本真理，就不應該因次要問題而爭論或分裂。</w:t>
      </w:r>
    </w:p>
    <w:p>
      <w:pPr/>
      <w:r>
        <w:rPr>
          <w:lang w:val="zh_TW" w:bidi="zh_TW"/>
        </w:rPr>
      </w:r>
      <w:r>
        <w:rPr>
          <w:lang w:val="zh_TW" w:bidi="zh_TW"/>
        </w:rPr>
        <w:t>然而，有些議題會影響福音的核心信息。在這些情況下，基督徒應該堅定並忠於福音和耶穌基督。有時，很難判斷一個議題是否屬於核心問題。它可能值得討論，但對基督徒的合一卻非必要。保羅在他那個時代對各種議題的處理方法，可以引導我們處理今天的衝突和爭論。</w:t>
      </w:r>
    </w:p>
    <w:p>
      <w:pPr/>
      <w:r>
        <w:rPr>
          <w:lang w:val="zh_TW" w:bidi="zh_TW"/>
        </w:rPr>
      </w:r>
      <w:r>
        <w:rPr>
          <w:u w:val="single"/>
          <w:lang w:val="zh_TW" w:bidi="zh_TW"/>
        </w:rPr>
        <w:t>進深研究的經文段落</w:t>
      </w:r>
    </w:p>
    <w:p>
      <w:pPr/>
      <w:r>
        <w:rPr>
          <w:lang w:val="zh_TW" w:bidi="zh_TW"/>
        </w:rPr>
      </w:r>
      <w:r>
        <w:rPr>
          <w:lang w:val="zh_TW" w:bidi="zh_TW"/>
        </w:rPr>
        <w:t>詩133:1–3</w:t>
      </w:r>
      <w:r>
        <w:rPr>
          <w:lang w:val="zh_TW" w:bidi="zh_TW"/>
        </w:rPr>
        <w:t>；</w:t>
      </w:r>
      <w:r>
        <w:rPr>
          <w:lang w:val="zh_TW" w:bidi="zh_TW"/>
        </w:rPr>
        <w:t>羅12:9–21</w:t>
      </w:r>
      <w:r>
        <w:rPr>
          <w:lang w:val="zh_TW" w:bidi="zh_TW"/>
        </w:rPr>
        <w:t>，</w:t>
      </w:r>
      <w:r>
        <w:rPr>
          <w:lang w:val="zh_TW" w:bidi="zh_TW"/>
        </w:rPr>
        <w:t>14:1–15:13</w:t>
      </w:r>
      <w:r>
        <w:rPr>
          <w:lang w:val="zh_TW" w:bidi="zh_TW"/>
        </w:rPr>
        <w:t>；</w:t>
      </w:r>
      <w:r>
        <w:rPr>
          <w:lang w:val="zh_TW" w:bidi="zh_TW"/>
        </w:rPr>
        <w:t>林前1:10</w:t>
      </w:r>
      <w:r>
        <w:rPr>
          <w:lang w:val="zh_TW" w:bidi="zh_TW"/>
        </w:rPr>
        <w:t>，</w:t>
      </w:r>
      <w:r>
        <w:rPr>
          <w:lang w:val="zh_TW" w:bidi="zh_TW"/>
        </w:rPr>
        <w:t>6:1–20</w:t>
      </w:r>
      <w:r>
        <w:rPr>
          <w:lang w:val="zh_TW" w:bidi="zh_TW"/>
        </w:rPr>
        <w:t>，</w:t>
      </w:r>
      <w:r>
        <w:rPr>
          <w:lang w:val="zh_TW" w:bidi="zh_TW"/>
        </w:rPr>
        <w:t>8:1–13</w:t>
      </w:r>
      <w:r>
        <w:rPr>
          <w:lang w:val="zh_TW" w:bidi="zh_TW"/>
        </w:rPr>
        <w:t>，</w:t>
      </w:r>
      <w:r>
        <w:rPr>
          <w:lang w:val="zh_TW" w:bidi="zh_TW"/>
        </w:rPr>
        <w:t>10:1–11:1</w:t>
      </w:r>
      <w:r>
        <w:rPr>
          <w:lang w:val="zh_TW" w:bidi="zh_TW"/>
        </w:rPr>
        <w:t>，</w:t>
      </w:r>
      <w:r>
        <w:rPr>
          <w:lang w:val="zh_TW" w:bidi="zh_TW"/>
        </w:rPr>
        <w:t>12:12–27</w:t>
      </w:r>
      <w:r>
        <w:rPr>
          <w:lang w:val="zh_TW" w:bidi="zh_TW"/>
        </w:rPr>
        <w:t>，</w:t>
      </w:r>
      <w:r>
        <w:rPr>
          <w:lang w:val="zh_TW" w:bidi="zh_TW"/>
        </w:rPr>
        <w:t>13:1–8</w:t>
      </w:r>
      <w:r>
        <w:rPr>
          <w:lang w:val="zh_TW" w:bidi="zh_TW"/>
        </w:rPr>
        <w:t>；</w:t>
      </w:r>
      <w:r>
        <w:rPr>
          <w:lang w:val="zh_TW" w:bidi="zh_TW"/>
        </w:rPr>
        <w:t>林後6:14–7:1</w:t>
      </w:r>
      <w:r>
        <w:rPr>
          <w:lang w:val="zh_TW" w:bidi="zh_TW"/>
        </w:rPr>
        <w:t>；</w:t>
      </w:r>
      <w:r>
        <w:rPr>
          <w:lang w:val="zh_TW" w:bidi="zh_TW"/>
        </w:rPr>
        <w:t>西3:12–15</w:t>
      </w:r>
      <w:r>
        <w:rPr>
          <w:lang w:val="zh_TW" w:bidi="zh_TW"/>
        </w:rPr>
        <w:t>；</w:t>
      </w:r>
      <w:r>
        <w:rPr>
          <w:lang w:val="zh_TW" w:bidi="zh_TW"/>
        </w:rPr>
        <w:t>提後2:23–26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