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qun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群體身分</w:t>
      </w:r>
      <w:r>
        <w:rPr>
          <w:lang w:val="zh_TW" w:bidi="zh_TW"/>
        </w:rPr>
      </w:r>
    </w:p>
    <w:p>
      <w:pPr/>
      <w:r>
        <w:rPr>
          <w:lang w:val="zh_TW" w:bidi="zh_TW"/>
        </w:rPr>
      </w:r>
      <w:r>
        <w:rPr>
          <w:lang w:val="zh_TW" w:bidi="zh_TW"/>
        </w:rPr>
        <w:t>在許多西方文化中，人們往往強調個人身分與獨立性。相對地，許多東方文化，如中國與印度，則更重視家庭與群體關係勝於個人利益。同樣地，在古代以色列，一個人的身分與重要性，主要來自他在群體中的角色。所有以色列人都共同享有作為「以色列子民」的群體身分，並活出這個群體所應有的特質。</w:t>
      </w:r>
    </w:p>
    <w:p>
      <w:pPr/>
      <w:r>
        <w:rPr>
          <w:lang w:val="zh_TW" w:bidi="zh_TW"/>
        </w:rPr>
      </w:r>
      <w:r>
        <w:rPr>
          <w:lang w:val="zh_TW" w:bidi="zh_TW"/>
        </w:rPr>
        <w:t>在舊約聖經中，神經常以單數形式對全體百姓說話，以強調他們的合一。十誡與亞倫的祝福都採用單數形式（</w:t>
      </w:r>
      <w:r>
        <w:rPr>
          <w:lang w:val="zh_TW" w:bidi="zh_TW"/>
        </w:rPr>
        <w:t>出20:2–17</w:t>
      </w:r>
      <w:r>
        <w:rPr>
          <w:lang w:val="zh_TW" w:bidi="zh_TW"/>
        </w:rPr>
        <w:t>；</w:t>
      </w:r>
      <w:r>
        <w:rPr>
          <w:lang w:val="zh_TW" w:bidi="zh_TW"/>
        </w:rPr>
        <w:t>民6:24–26</w:t>
      </w:r>
      <w:r>
        <w:rPr>
          <w:lang w:val="zh_TW" w:bidi="zh_TW"/>
        </w:rPr>
        <w:t>）。一個人可以代表整個群體，而整個群體也可以由一個人來代表。</w:t>
      </w:r>
    </w:p>
    <w:p>
      <w:pPr/>
      <w:r>
        <w:rPr>
          <w:lang w:val="zh_TW" w:bidi="zh_TW"/>
        </w:rPr>
      </w:r>
      <w:r>
        <w:rPr>
          <w:lang w:val="zh_TW" w:bidi="zh_TW"/>
        </w:rPr>
        <w:t>例如，尼希米在為導致巴比倫擄掠的罪祈求赦免時說：「承認我們以色列人向你所犯的罪」（</w:t>
      </w:r>
      <w:r>
        <w:rPr>
          <w:lang w:val="zh_TW" w:bidi="zh_TW"/>
        </w:rPr>
        <w:t>尼1:6–7</w:t>
      </w:r>
      <w:r>
        <w:rPr>
          <w:lang w:val="zh_TW" w:bidi="zh_TW"/>
        </w:rPr>
        <w:t>）。尼希米在公元前445至433年擔任猶大省省長，而耶路撒冷毀於公元前586年，距離他的時代已有約140年。因此，他本人並未犯下那些罪，但在禱告中，他與百姓一體，承認那些罪孽。</w:t>
      </w:r>
    </w:p>
    <w:p>
      <w:pPr/>
      <w:r>
        <w:rPr>
          <w:lang w:val="zh_TW" w:bidi="zh_TW"/>
        </w:rPr>
      </w:r>
      <w:r>
        <w:rPr>
          <w:lang w:val="zh_TW" w:bidi="zh_TW"/>
        </w:rPr>
        <w:t>同樣地，大祭司在贖罪日（</w:t>
      </w:r>
      <w:r>
        <w:rPr>
          <w:lang w:val="zh_TW" w:bidi="zh_TW"/>
        </w:rPr>
        <w:t>利16章</w:t>
      </w:r>
      <w:r>
        <w:rPr>
          <w:lang w:val="zh_TW" w:bidi="zh_TW"/>
        </w:rPr>
        <w:t>）也可以代表全體百姓。由於個人與群體之間關係密切，一個人的罪若不處理，可能會成為整個群體的罪（</w:t>
      </w:r>
      <w:r>
        <w:rPr>
          <w:lang w:val="zh_TW" w:bidi="zh_TW"/>
        </w:rPr>
        <w:t>利4:3–21，</w:t>
      </w:r>
      <w:r>
        <w:rPr>
          <w:lang w:val="zh_TW" w:bidi="zh_TW"/>
        </w:rPr>
        <w:t>20:1–5</w:t>
      </w:r>
      <w:r>
        <w:rPr>
          <w:lang w:val="zh_TW" w:bidi="zh_TW"/>
        </w:rPr>
        <w:t>）。</w:t>
      </w:r>
    </w:p>
    <w:p>
      <w:pPr/>
      <w:r>
        <w:rPr>
          <w:lang w:val="zh_TW" w:bidi="zh_TW"/>
        </w:rPr>
      </w:r>
      <w:r>
        <w:rPr>
          <w:lang w:val="zh_TW" w:bidi="zh_TW"/>
        </w:rPr>
        <w:t>同樣地，使徒保羅將基督徒群體描述為「基督的身體」（</w:t>
      </w:r>
      <w:r>
        <w:rPr>
          <w:lang w:val="zh_TW" w:bidi="zh_TW"/>
        </w:rPr>
        <w:t>林前12:27</w:t>
      </w:r>
      <w:r>
        <w:rPr>
          <w:lang w:val="zh_TW" w:bidi="zh_TW"/>
        </w:rPr>
        <w:t>；</w:t>
      </w:r>
      <w:r>
        <w:rPr>
          <w:lang w:val="zh_TW" w:bidi="zh_TW"/>
        </w:rPr>
        <w:t>弗4:12</w:t>
      </w:r>
      <w:r>
        <w:rPr>
          <w:lang w:val="zh_TW" w:bidi="zh_TW"/>
        </w:rPr>
        <w:t>）。信徒藉著聖靈共享基督的身分。他們作為基督的身體，在自己的生命中彰顯祂，並一同向世界顯明基督。保羅勉勵加拉太教會「各人的重擔要互相擔當」，這樣就能效法基督的榜樣（</w:t>
      </w:r>
      <w:r>
        <w:rPr>
          <w:lang w:val="zh_TW" w:bidi="zh_TW"/>
        </w:rPr>
        <w:t>加6:2</w:t>
      </w:r>
      <w:r>
        <w:rPr>
          <w:lang w:val="zh_TW" w:bidi="zh_TW"/>
        </w:rPr>
        <w:t>；</w:t>
      </w:r>
      <w:r>
        <w:rPr>
          <w:lang w:val="zh_TW" w:bidi="zh_TW"/>
        </w:rPr>
        <w:t>太11:28–30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出20:5–6</w:t>
      </w:r>
      <w:r>
        <w:rPr>
          <w:lang w:val="zh_TW" w:bidi="zh_TW"/>
        </w:rPr>
        <w:t>，</w:t>
      </w:r>
      <w:r>
        <w:rPr>
          <w:lang w:val="zh_TW" w:bidi="zh_TW"/>
        </w:rPr>
        <w:t>8–10</w:t>
      </w:r>
      <w:r>
        <w:rPr>
          <w:lang w:val="zh_TW" w:bidi="zh_TW"/>
        </w:rPr>
        <w:t>；</w:t>
      </w:r>
      <w:r>
        <w:rPr>
          <w:lang w:val="zh_TW" w:bidi="zh_TW"/>
        </w:rPr>
        <w:t>利4:3–21，</w:t>
      </w:r>
      <w:r>
        <w:rPr>
          <w:lang w:val="zh_TW" w:bidi="zh_TW"/>
        </w:rPr>
        <w:t>20:1–5</w:t>
      </w:r>
      <w:r>
        <w:rPr>
          <w:lang w:val="zh_TW" w:bidi="zh_TW"/>
        </w:rPr>
        <w:t>；</w:t>
      </w:r>
      <w:r>
        <w:rPr>
          <w:lang w:val="zh_TW" w:bidi="zh_TW"/>
        </w:rPr>
        <w:t>書7:1–26</w:t>
      </w:r>
      <w:r>
        <w:rPr>
          <w:lang w:val="zh_TW" w:bidi="zh_TW"/>
        </w:rPr>
        <w:t>；</w:t>
      </w:r>
      <w:r>
        <w:rPr>
          <w:lang w:val="zh_TW" w:bidi="zh_TW"/>
        </w:rPr>
        <w:t>尼1:6–7</w:t>
      </w:r>
      <w:r>
        <w:rPr>
          <w:lang w:val="zh_TW" w:bidi="zh_TW"/>
        </w:rPr>
        <w:t>；</w:t>
      </w:r>
      <w:r>
        <w:rPr>
          <w:lang w:val="zh_TW" w:bidi="zh_TW"/>
        </w:rPr>
        <w:t>林前12:12–27</w:t>
      </w:r>
      <w:r>
        <w:rPr>
          <w:lang w:val="zh_TW" w:bidi="zh_TW"/>
        </w:rPr>
        <w:t>；</w:t>
      </w:r>
      <w:r>
        <w:rPr>
          <w:lang w:val="zh_TW" w:bidi="zh_TW"/>
        </w:rPr>
        <w:t>加6:2</w:t>
      </w:r>
      <w:r>
        <w:rPr>
          <w:lang w:val="zh_TW" w:bidi="zh_TW"/>
        </w:rPr>
        <w:t>；</w:t>
      </w:r>
      <w:r>
        <w:rPr>
          <w:lang w:val="zh_TW" w:bidi="zh_TW"/>
        </w:rPr>
        <w:t>弗4:11–13</w:t>
      </w:r>
      <w:r>
        <w:rPr>
          <w:lang w:val="zh_TW" w:bidi="zh_TW"/>
        </w:rPr>
      </w:r>
      <w:r>
        <w:rPr>
          <w:lang w:val="zh_TW" w:bidi="zh_TW"/>
        </w:rPr>
      </w:r>
    </w:p>
    <w:p>
      <w:pPr/>
      <w:r>
        <w:rPr>
          <w:lang w:val="zh_TW" w:bidi="zh_TW"/>
        </w:rPr>
      </w:r>
    </w:p>
    <w:p>
      <w:pPr>
        <w:pStyle w:val="Heading2"/>
      </w:pPr>
      <w:r>
        <w:rPr>
          <w:lang w:val="zh_TW" w:bidi="zh_TW"/>
        </w:rPr>
        <w:t>群體責任：亞干的罪</w:t>
      </w:r>
      <w:r>
        <w:rPr>
          <w:lang w:val="zh_TW" w:bidi="zh_TW"/>
        </w:rPr>
      </w:r>
    </w:p>
    <w:p>
      <w:pPr/>
      <w:r>
        <w:rPr>
          <w:lang w:val="zh_TW" w:bidi="zh_TW"/>
        </w:rPr>
      </w:r>
      <w:r>
        <w:rPr>
          <w:lang w:val="zh_TW" w:bidi="zh_TW"/>
        </w:rPr>
        <w:t>整個群體都應該為少數人的錯誤來負責嗎？</w:t>
      </w:r>
    </w:p>
    <w:p>
      <w:pPr/>
      <w:r>
        <w:rPr>
          <w:lang w:val="zh_TW" w:bidi="zh_TW"/>
        </w:rPr>
      </w:r>
      <w:r>
        <w:rPr>
          <w:lang w:val="zh_TW" w:bidi="zh_TW"/>
        </w:rPr>
        <w:t>為什麼亞干犯罪後，以色列人在艾城的戰役中死了許多士兵（</w:t>
      </w:r>
      <w:r>
        <w:rPr>
          <w:lang w:val="zh_TW" w:bidi="zh_TW"/>
        </w:rPr>
        <w:t>書7</w:t>
      </w:r>
      <w:r>
        <w:rPr>
          <w:lang w:val="zh_TW" w:bidi="zh_TW"/>
        </w:rPr>
        <w:t>）？為什麼以色列人要用石頭打死亞干全家？要解答這些問題，就需要理解「群體責任」的觀念。</w:t>
      </w:r>
    </w:p>
    <w:p>
      <w:pPr/>
      <w:r>
        <w:rPr>
          <w:lang w:val="zh_TW" w:bidi="zh_TW"/>
        </w:rPr>
      </w:r>
      <w:r>
        <w:rPr>
          <w:lang w:val="zh_TW" w:bidi="zh_TW"/>
        </w:rPr>
        <w:t>如果亞干的家人知道他的偷竊行為，他們就與他一同有罪。當群體中的成員參與罪惡，或默許了罪惡的行為或態度，這個群體就須共同承擔責任。</w:t>
      </w:r>
    </w:p>
    <w:p>
      <w:pPr/>
      <w:r>
        <w:rPr>
          <w:lang w:val="zh_TW" w:bidi="zh_TW"/>
        </w:rPr>
      </w:r>
      <w:r>
        <w:rPr>
          <w:lang w:val="zh_TW" w:bidi="zh_TW"/>
        </w:rPr>
        <w:t>那麼，亞干那些年幼無知、不知情的孩子呢？那些因亞干奪取了屬於神的物品而在艾城戰死的以色列士兵，又該如何理解呢？</w:t>
      </w:r>
    </w:p>
    <w:p>
      <w:pPr/>
      <w:r>
        <w:rPr>
          <w:lang w:val="zh_TW" w:bidi="zh_TW"/>
        </w:rPr>
      </w:r>
      <w:r>
        <w:rPr>
          <w:lang w:val="zh_TW" w:bidi="zh_TW"/>
        </w:rPr>
        <w:t>要明瞭這一切，我們必須回到起初。</w:t>
      </w:r>
    </w:p>
    <w:p>
      <w:pPr/>
      <w:r>
        <w:rPr>
          <w:lang w:val="zh_TW" w:bidi="zh_TW"/>
        </w:rPr>
      </w:r>
      <w:r>
        <w:rPr>
          <w:lang w:val="zh_TW" w:bidi="zh_TW"/>
        </w:rPr>
        <w:t>我們的始祖亞當與夏娃的罪，至少有兩個層面（</w:t>
      </w:r>
      <w:r>
        <w:rPr>
          <w:lang w:val="zh_TW" w:bidi="zh_TW"/>
        </w:rPr>
        <w:t>創3</w:t>
      </w:r>
      <w:r>
        <w:rPr>
          <w:lang w:val="zh_TW" w:bidi="zh_TW"/>
        </w:rPr>
        <w:t>）：</w:t>
      </w:r>
    </w:p>
    <w:p>
      <w:pPr>
        <w:pStyle w:val="ListNumber"/>
        <w:numPr>
          <w:ilvl w:val="0"/>
          <w:numId w:val="14"/>
        </w:numPr>
        <w:spacing w:line="240" w:lineRule="auto"/>
        <w:ind w:left="720"/>
      </w:pPr>
      <w:r>
        <w:rPr>
          <w:lang w:val="zh_TW" w:bidi="zh_TW"/>
        </w:rPr>
      </w:r>
      <w:r>
        <w:rPr>
          <w:lang w:val="zh_TW" w:bidi="zh_TW"/>
        </w:rPr>
        <w:t>他們選擇不信靠神。雖然他們與神有親密的關係，卻選擇聆聽一位陌生人的話。</w:t>
      </w:r>
    </w:p>
    <w:p>
      <w:pPr>
        <w:pStyle w:val="ListNumber"/>
        <w:spacing w:line="240" w:lineRule="auto"/>
        <w:ind w:left="720"/>
      </w:pPr>
      <w:r>
        <w:rPr>
          <w:lang w:val="zh_TW" w:bidi="zh_TW"/>
        </w:rPr>
      </w:r>
      <w:r>
        <w:rPr>
          <w:lang w:val="zh_TW" w:bidi="zh_TW"/>
        </w:rPr>
        <w:t>他們想要自己成為神。他們宣告要脫離對神的依賴，卻終究失敗。</w:t>
      </w:r>
    </w:p>
    <w:p>
      <w:pPr/>
      <w:r>
        <w:rPr>
          <w:lang w:val="zh_TW" w:bidi="zh_TW"/>
        </w:rPr>
      </w:r>
      <w:r>
        <w:rPr>
          <w:lang w:val="zh_TW" w:bidi="zh_TW"/>
        </w:rPr>
        <w:t>由於每個人都為自己做出同樣的選擇，所以沒有一個人是真正無辜的（見</w:t>
      </w:r>
      <w:r>
        <w:rPr>
          <w:lang w:val="zh_TW" w:bidi="zh_TW"/>
        </w:rPr>
        <w:t>詩14:2–3</w:t>
      </w:r>
      <w:r>
        <w:rPr>
          <w:lang w:val="zh_TW" w:bidi="zh_TW"/>
        </w:rPr>
        <w:t>；</w:t>
      </w:r>
      <w:r>
        <w:rPr>
          <w:lang w:val="zh_TW" w:bidi="zh_TW"/>
        </w:rPr>
        <w:t>羅3:9–23</w:t>
      </w:r>
      <w:r>
        <w:rPr>
          <w:lang w:val="zh_TW" w:bidi="zh_TW"/>
        </w:rPr>
        <w:t>）。因此，我們都承受因罪進入世界所帶來的後果。我們可能會因他人的罪、疏忽或無知而死亡，也可能因自己的行為而受害。有人酒後駕駛，因而可能會撞死他人；有人貪圖利益、忽視他人安危，因而可能迫使工人在不安全的環境中工作。同樣地，當亞干犯罪時，以色列人也在艾城戰役中付上了代價。</w:t>
      </w:r>
    </w:p>
    <w:p>
      <w:pPr/>
      <w:r>
        <w:rPr>
          <w:lang w:val="zh_TW" w:bidi="zh_TW"/>
        </w:rPr>
      </w:r>
      <w:r>
        <w:rPr>
          <w:lang w:val="zh_TW" w:bidi="zh_TW"/>
        </w:rPr>
        <w:t>這種情況或許看起來並不「公平」。然而，神應許祂將在祂所定的時候施行完全的公義。神的公義最終將藉著祂的恩典與憐憫成就——就是耶穌替我們死，使我們得以活（見</w:t>
      </w:r>
      <w:r>
        <w:rPr>
          <w:lang w:val="zh_TW" w:bidi="zh_TW"/>
        </w:rPr>
        <w:t>羅5:12–21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創9:24–27；</w:t>
      </w:r>
      <w:r>
        <w:rPr>
          <w:lang w:val="zh_TW" w:bidi="zh_TW"/>
        </w:rPr>
        <w:t>出20:5；</w:t>
      </w:r>
      <w:r>
        <w:rPr>
          <w:lang w:val="zh_TW" w:bidi="zh_TW"/>
        </w:rPr>
        <w:t>書7:1–26；</w:t>
      </w:r>
      <w:r>
        <w:rPr>
          <w:lang w:val="zh_TW" w:bidi="zh_TW"/>
        </w:rPr>
        <w:t>王下14:6；</w:t>
      </w:r>
      <w:r>
        <w:rPr>
          <w:lang w:val="zh_TW" w:bidi="zh_TW"/>
        </w:rPr>
        <w:t>王下21:10–15；</w:t>
      </w:r>
      <w:r>
        <w:rPr>
          <w:lang w:val="zh_TW" w:bidi="zh_TW"/>
        </w:rPr>
        <w:t>拉9:6–15；</w:t>
      </w:r>
      <w:r>
        <w:rPr>
          <w:lang w:val="zh_TW" w:bidi="zh_TW"/>
        </w:rPr>
        <w:t>尼9:16–37；</w:t>
      </w:r>
      <w:r>
        <w:rPr>
          <w:lang w:val="zh_TW" w:bidi="zh_TW"/>
        </w:rPr>
        <w:t>耶31:29–30；</w:t>
      </w:r>
      <w:r>
        <w:rPr>
          <w:lang w:val="zh_TW" w:bidi="zh_TW"/>
        </w:rPr>
        <w:t>結18:20；</w:t>
      </w:r>
      <w:r>
        <w:rPr>
          <w:lang w:val="zh_TW" w:bidi="zh_TW"/>
        </w:rPr>
        <w:t>但9:4–19；</w:t>
      </w:r>
      <w:r>
        <w:rPr>
          <w:lang w:val="zh_TW" w:bidi="zh_TW"/>
        </w:rPr>
        <w:t>太23:29–36；</w:t>
      </w:r>
      <w:r>
        <w:rPr>
          <w:lang w:val="zh_TW" w:bidi="zh_TW"/>
        </w:rPr>
        <w:t>約9:1–3；</w:t>
      </w:r>
      <w:r>
        <w:rPr>
          <w:lang w:val="zh_TW" w:bidi="zh_TW"/>
        </w:rPr>
        <w:t>羅5:12–21；</w:t>
      </w:r>
      <w:r>
        <w:rPr>
          <w:lang w:val="zh_TW" w:bidi="zh_TW"/>
        </w:rPr>
        <w:t>林前15:21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