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通婚與休妻</w:t>
      </w:r>
      <w:r>
        <w:rPr>
          <w:lang w:val="zh_TW" w:bidi="zh_TW"/>
        </w:rPr>
      </w:r>
    </w:p>
    <w:p>
      <w:pPr/>
      <w:r>
        <w:rPr>
          <w:lang w:val="zh_TW" w:bidi="zh_TW"/>
        </w:rPr>
      </w:r>
      <w:r>
        <w:rPr>
          <w:lang w:val="zh_TW" w:bidi="zh_TW"/>
        </w:rPr>
        <w:t>神曾警告祂的百姓不可與外邦人通婚（</w:t>
      </w:r>
      <w:r>
        <w:rPr>
          <w:lang w:val="zh_TW" w:bidi="zh_TW"/>
        </w:rPr>
        <w:t>申7:1–6</w:t>
      </w:r>
      <w:r>
        <w:rPr>
          <w:lang w:val="zh_TW" w:bidi="zh_TW"/>
        </w:rPr>
        <w:t>）。這裡的問題並非出於國或種族的差異，而在於嫁娶那些敬拜別神的人。摩西自己曾娶了一位古實女子（</w:t>
      </w:r>
      <w:r>
        <w:rPr>
          <w:lang w:val="zh_TW" w:bidi="zh_TW"/>
        </w:rPr>
        <w:t>民12:1</w:t>
      </w:r>
      <w:r>
        <w:rPr>
          <w:lang w:val="zh_TW" w:bidi="zh_TW"/>
        </w:rPr>
        <w:t>），也有外邦女子因婚姻加入以色列，例如迦南女子喇合與摩押女子路得（見</w:t>
      </w:r>
      <w:r>
        <w:rPr>
          <w:lang w:val="zh_TW" w:bidi="zh_TW"/>
        </w:rPr>
        <w:t>太1:5</w:t>
      </w:r>
      <w:r>
        <w:rPr>
          <w:lang w:val="zh_TW" w:bidi="zh_TW"/>
        </w:rPr>
        <w:t>；</w:t>
      </w:r>
      <w:r>
        <w:rPr>
          <w:lang w:val="zh_TW" w:bidi="zh_TW"/>
        </w:rPr>
        <w:t>得4:1–22</w:t>
      </w:r>
      <w:r>
        <w:rPr>
          <w:lang w:val="zh_TW" w:bidi="zh_TW"/>
        </w:rPr>
        <w:t>）。這些女子都信靠耶和華，神也賜福於她們。然而，所羅門王娶了許多外邦女子，她們對別神的敬拜影響了所羅門，使他偏離正道，去拜偶像，正如神先前所警告的那樣（</w:t>
      </w:r>
      <w:r>
        <w:rPr>
          <w:lang w:val="zh_TW" w:bidi="zh_TW"/>
        </w:rPr>
        <w:t>王上11:1–5</w:t>
      </w:r>
      <w:r>
        <w:rPr>
          <w:lang w:val="zh_TW" w:bidi="zh_TW"/>
        </w:rPr>
        <w:t>）。</w:t>
      </w:r>
    </w:p>
    <w:p>
      <w:pPr/>
      <w:r>
        <w:rPr>
          <w:lang w:val="zh_TW" w:bidi="zh_TW"/>
        </w:rPr>
      </w:r>
      <w:r>
        <w:rPr>
          <w:lang w:val="zh_TW" w:bidi="zh_TW"/>
        </w:rPr>
        <w:t>在聖經中，婚姻被視為一項在神面前立下的約定（或約），包含夫妻之間的忠誠、愛與委身的承諾。然而，對以色列人來說，更重要的是他們作為一個民族，對神所立之約的忠誠。與外邦人通婚可能會生下背離以色列信仰的下一代，他們會受到外邦父母偶像崇拜的影響；最終導致以色列民遠離神，並接受虛假的宗教，如同他們在被擄到巴比倫之前所發生的情況（見</w:t>
      </w:r>
      <w:r>
        <w:rPr>
          <w:lang w:val="zh_TW" w:bidi="zh_TW"/>
        </w:rPr>
        <w:t>士3:3–7，</w:t>
      </w:r>
      <w:r>
        <w:rPr>
          <w:lang w:val="zh_TW" w:bidi="zh_TW"/>
        </w:rPr>
        <w:t>14:1–9</w:t>
      </w:r>
      <w:r>
        <w:rPr>
          <w:lang w:val="zh_TW" w:bidi="zh_TW"/>
        </w:rPr>
        <w:t>；</w:t>
      </w:r>
      <w:r>
        <w:rPr>
          <w:lang w:val="zh_TW" w:bidi="zh_TW"/>
        </w:rPr>
        <w:t>王上11:1–8</w:t>
      </w:r>
      <w:r>
        <w:rPr>
          <w:lang w:val="zh_TW" w:bidi="zh_TW"/>
        </w:rPr>
        <w:t>；</w:t>
      </w:r>
      <w:r>
        <w:rPr>
          <w:lang w:val="zh_TW" w:bidi="zh_TW"/>
        </w:rPr>
        <w:t>王下17:7–17</w:t>
      </w:r>
      <w:r>
        <w:rPr>
          <w:lang w:val="zh_TW" w:bidi="zh_TW"/>
        </w:rPr>
        <w:t>）。</w:t>
      </w:r>
    </w:p>
    <w:p>
      <w:pPr/>
      <w:r>
        <w:rPr>
          <w:lang w:val="zh_TW" w:bidi="zh_TW"/>
        </w:rPr>
      </w:r>
      <w:r>
        <w:rPr>
          <w:lang w:val="zh_TW" w:bidi="zh_TW"/>
        </w:rPr>
        <w:t>在</w:t>
      </w:r>
      <w:r>
        <w:rPr>
          <w:lang w:val="zh_TW" w:bidi="zh_TW"/>
        </w:rPr>
        <w:t>以斯拉記九章和十章</w:t>
      </w:r>
      <w:r>
        <w:rPr>
          <w:lang w:val="zh_TW" w:bidi="zh_TW"/>
        </w:rPr>
        <w:t>中，從巴比倫被擄歸回的猶太人與敬拜別神的外邦人通婚。以斯拉的解決方式是休妻，但這並不適用於今天的新約信徒。如今，在與耶穌所立的新約中，信徒的信仰會使他或她的婚姻與兒女成為聖潔。因此，與不信者的婚姻並不會威脅神子民的身分或聖潔（</w:t>
      </w:r>
      <w:r>
        <w:rPr>
          <w:lang w:val="zh_TW" w:bidi="zh_TW"/>
        </w:rPr>
        <w:t>林前7:14–16</w:t>
      </w:r>
      <w:r>
        <w:rPr>
          <w:lang w:val="zh_TW" w:bidi="zh_TW"/>
        </w:rPr>
        <w:t>）。使徒保羅也承認信徒與不信者結婚可能導致休妻，但他並不鼓勵信徒因此而主動休妻（</w:t>
      </w:r>
      <w:r>
        <w:rPr>
          <w:lang w:val="zh_TW" w:bidi="zh_TW"/>
        </w:rPr>
        <w:t>林前7:10–13</w:t>
      </w:r>
      <w:r>
        <w:rPr>
          <w:lang w:val="zh_TW" w:bidi="zh_TW"/>
        </w:rPr>
        <w:t>）。</w:t>
      </w:r>
    </w:p>
    <w:p>
      <w:pPr/>
      <w:r>
        <w:rPr>
          <w:lang w:val="zh_TW" w:bidi="zh_TW"/>
        </w:rPr>
      </w:r>
      <w:r>
        <w:rPr>
          <w:lang w:val="zh_TW" w:bidi="zh_TW"/>
        </w:rPr>
        <w:t>為避免這些困難，遵行保羅的勸告，即不要與不信者結婚，是明智的選擇。神的子民應當與不潔之事分別開來：「義和不義有甚麼相交呢？光明和黑暗有甚麼相通呢？基督和彼列有甚麼相和呢？信主的和不信主的有甚麼相干呢？」（</w:t>
      </w:r>
      <w:r>
        <w:rPr>
          <w:lang w:val="zh_TW" w:bidi="zh_TW"/>
        </w:rPr>
        <w:t>林後6:14–15</w:t>
      </w:r>
      <w:r>
        <w:rPr>
          <w:lang w:val="zh_TW" w:bidi="zh_TW"/>
        </w:rPr>
        <w:t>）。然而，對於已與不信者結婚的信徒來說，神應許祂仍能在這樣艱難的處境，顯出祂的榮耀（另見</w:t>
      </w:r>
      <w:r>
        <w:rPr>
          <w:lang w:val="zh_TW" w:bidi="zh_TW"/>
        </w:rPr>
        <w:t>彼前3:1–2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申7:1–6</w:t>
      </w:r>
      <w:r>
        <w:rPr>
          <w:lang w:val="zh_TW" w:bidi="zh_TW"/>
        </w:rPr>
        <w:t>；</w:t>
      </w:r>
      <w:r>
        <w:rPr>
          <w:lang w:val="zh_TW" w:bidi="zh_TW"/>
        </w:rPr>
        <w:t>書2:1–14，</w:t>
      </w:r>
      <w:r>
        <w:rPr>
          <w:lang w:val="zh_TW" w:bidi="zh_TW"/>
        </w:rPr>
        <w:t>6:23–25</w:t>
      </w:r>
      <w:r>
        <w:rPr>
          <w:lang w:val="zh_TW" w:bidi="zh_TW"/>
        </w:rPr>
        <w:t>；</w:t>
      </w:r>
      <w:r>
        <w:rPr>
          <w:lang w:val="zh_TW" w:bidi="zh_TW"/>
        </w:rPr>
        <w:t>士3:3–7，</w:t>
      </w:r>
      <w:r>
        <w:rPr>
          <w:lang w:val="zh_TW" w:bidi="zh_TW"/>
        </w:rPr>
        <w:t>14:1–9</w:t>
      </w:r>
      <w:r>
        <w:rPr>
          <w:lang w:val="zh_TW" w:bidi="zh_TW"/>
        </w:rPr>
        <w:t>；</w:t>
      </w:r>
      <w:r>
        <w:rPr>
          <w:lang w:val="zh_TW" w:bidi="zh_TW"/>
        </w:rPr>
        <w:t>得4:1–22</w:t>
      </w:r>
      <w:r>
        <w:rPr>
          <w:lang w:val="zh_TW" w:bidi="zh_TW"/>
        </w:rPr>
        <w:t>；</w:t>
      </w:r>
      <w:r>
        <w:rPr>
          <w:lang w:val="zh_TW" w:bidi="zh_TW"/>
        </w:rPr>
        <w:t>王上11:1–8</w:t>
      </w:r>
      <w:r>
        <w:rPr>
          <w:lang w:val="zh_TW" w:bidi="zh_TW"/>
        </w:rPr>
        <w:t>；</w:t>
      </w:r>
      <w:r>
        <w:rPr>
          <w:lang w:val="zh_TW" w:bidi="zh_TW"/>
        </w:rPr>
        <w:t>王下17:7–17</w:t>
      </w:r>
      <w:r>
        <w:rPr>
          <w:lang w:val="zh_TW" w:bidi="zh_TW"/>
        </w:rPr>
        <w:t>；</w:t>
      </w:r>
      <w:r>
        <w:rPr>
          <w:lang w:val="zh_TW" w:bidi="zh_TW"/>
        </w:rPr>
        <w:t>拉9:1–10:44</w:t>
      </w:r>
      <w:r>
        <w:rPr>
          <w:lang w:val="zh_TW" w:bidi="zh_TW"/>
        </w:rPr>
        <w:t>；</w:t>
      </w:r>
      <w:r>
        <w:rPr>
          <w:lang w:val="zh_TW" w:bidi="zh_TW"/>
        </w:rPr>
        <w:t>林前7:10–16</w:t>
      </w:r>
      <w:r>
        <w:rPr>
          <w:lang w:val="zh_TW" w:bidi="zh_TW"/>
        </w:rPr>
        <w:t>；</w:t>
      </w:r>
      <w:r>
        <w:rPr>
          <w:lang w:val="zh_TW" w:bidi="zh_TW"/>
        </w:rPr>
        <w:t>林後6:14–15</w:t>
      </w:r>
      <w:r>
        <w:rPr>
          <w:lang w:val="zh_TW" w:bidi="zh_TW"/>
        </w:rPr>
        <w:t>；</w:t>
      </w:r>
      <w:r>
        <w:rPr>
          <w:lang w:val="zh_TW" w:bidi="zh_TW"/>
        </w:rPr>
        <w:t>來11:31</w:t>
      </w:r>
      <w:r>
        <w:rPr>
          <w:lang w:val="zh_TW" w:bidi="zh_TW"/>
        </w:rPr>
      </w:r>
      <w:r>
        <w:rPr>
          <w:lang w:val="zh_TW" w:bidi="zh_TW"/>
        </w:rPr>
      </w:r>
    </w:p>
    <w:p>
      <w:pPr/>
      <w:r>
        <w:rPr>
          <w:lang w:val="zh_TW" w:bidi="zh_TW"/>
        </w:rPr>
      </w:r>
    </w:p>
    <w:p>
      <w:pPr>
        <w:pStyle w:val="Heading2"/>
      </w:pPr>
      <w:r>
        <w:rPr>
          <w:lang w:val="zh_TW" w:bidi="zh_TW"/>
        </w:rPr>
        <w:t>銅蛇</w:t>
      </w:r>
      <w:r>
        <w:rPr>
          <w:lang w:val="zh_TW" w:bidi="zh_TW"/>
        </w:rPr>
      </w:r>
    </w:p>
    <w:p>
      <w:pPr/>
      <w:r>
        <w:rPr>
          <w:lang w:val="zh_TW" w:bidi="zh_TW"/>
        </w:rPr>
      </w:r>
      <w:r>
        <w:rPr>
          <w:lang w:val="zh_TW" w:bidi="zh_TW"/>
        </w:rPr>
        <w:t>民數記二十一章4至9節</w:t>
      </w:r>
      <w:r>
        <w:rPr>
          <w:lang w:val="zh_TW" w:bidi="zh_TW"/>
        </w:rPr>
        <w:t>記載，以色列人向耶和華和摩西發怨言。他們對食物和水感到不滿，並說：「</w:t>
      </w:r>
      <w:r>
        <w:rPr>
          <w:lang w:val="zh_TW" w:bidi="zh_TW"/>
        </w:rPr>
        <w:t>我們的心厭惡這淡薄的食物。</w:t>
      </w:r>
      <w:r>
        <w:rPr>
          <w:lang w:val="zh_TW" w:bidi="zh_TW"/>
        </w:rPr>
        <w:t>」（</w:t>
      </w:r>
      <w:r>
        <w:rPr>
          <w:lang w:val="zh_TW" w:bidi="zh_TW"/>
        </w:rPr>
        <w:t>21:5</w:t>
      </w:r>
      <w:r>
        <w:rPr>
          <w:lang w:val="zh_TW" w:bidi="zh_TW"/>
        </w:rPr>
        <w:t>）。耶和華回應他們，差遣毒蛇進入他們中間，咬死了許多人（見</w:t>
      </w:r>
      <w:r>
        <w:rPr>
          <w:lang w:val="zh_TW" w:bidi="zh_TW"/>
        </w:rPr>
        <w:t>申8:15</w:t>
      </w:r>
      <w:r>
        <w:rPr>
          <w:lang w:val="zh_TW" w:bidi="zh_TW"/>
        </w:rPr>
        <w:t>）。以色列人意識到自己的錯誤，便請求摩西為他們禱告，求神除去這些蛇。神吩咐摩西製造一條銅蛇，凡被咬的人，只要仰望</w:t>
      </w:r>
      <w:r>
        <w:rPr>
          <w:lang w:val="zh_TW" w:bidi="zh_TW"/>
        </w:rPr>
        <w:t>這</w:t>
      </w:r>
      <w:r>
        <w:rPr>
          <w:lang w:val="zh_TW" w:bidi="zh_TW"/>
        </w:rPr>
        <w:t>銅蛇，就會得著神的醫治（</w:t>
      </w:r>
      <w:r>
        <w:rPr>
          <w:lang w:val="zh_TW" w:bidi="zh_TW"/>
        </w:rPr>
        <w:t>民21:8</w:t>
      </w:r>
      <w:r>
        <w:rPr>
          <w:lang w:val="zh_TW" w:bidi="zh_TW"/>
        </w:rPr>
        <w:t>）。</w:t>
      </w:r>
    </w:p>
    <w:p>
      <w:pPr/>
      <w:r>
        <w:rPr>
          <w:lang w:val="zh_TW" w:bidi="zh_TW"/>
        </w:rPr>
      </w:r>
      <w:r>
        <w:rPr>
          <w:lang w:val="zh_TW" w:bidi="zh_TW"/>
        </w:rPr>
        <w:t>這並不是一般的醫療方式。這醫治來自神，需要人以信心仰望那銅蛇，並相信神的醫治大能。蛇咬是神懲罰的結果；但祂也出於憐憫，為百姓預備了拯救之路（見所羅門智訓16:5–7）。</w:t>
      </w:r>
    </w:p>
    <w:p>
      <w:pPr/>
      <w:r>
        <w:rPr>
          <w:lang w:val="zh_TW" w:bidi="zh_TW"/>
        </w:rPr>
      </w:r>
      <w:r>
        <w:rPr>
          <w:lang w:val="zh_TW" w:bidi="zh_TW"/>
        </w:rPr>
        <w:t>到了公元前715年，猶大王希西家登基時，以色列人竟將摩西所造的銅蛇當作偶像來崇拜（見</w:t>
      </w:r>
      <w:r>
        <w:rPr>
          <w:lang w:val="zh_TW" w:bidi="zh_TW"/>
        </w:rPr>
        <w:t>王下18:1–4</w:t>
      </w:r>
      <w:r>
        <w:rPr>
          <w:lang w:val="zh_TW" w:bidi="zh_TW"/>
        </w:rPr>
        <w:t>）。原本</w:t>
      </w:r>
      <w:r>
        <w:rPr>
          <w:lang w:val="zh_TW" w:bidi="zh_TW"/>
        </w:rPr>
        <w:t>他們</w:t>
      </w:r>
      <w:r>
        <w:rPr>
          <w:lang w:val="zh_TW" w:bidi="zh_TW"/>
        </w:rPr>
        <w:t>保留此物的目的，</w:t>
      </w:r>
      <w:r>
        <w:rPr>
          <w:lang w:val="zh_TW" w:bidi="zh_TW"/>
        </w:rPr>
        <w:t>可能是為了記念神的大能，就像他們保留了其它曠野時期的聖物一樣</w:t>
      </w:r>
      <w:r>
        <w:rPr>
          <w:lang w:val="zh_TW" w:bidi="zh_TW"/>
        </w:rPr>
        <w:t>（見</w:t>
      </w:r>
      <w:r>
        <w:rPr>
          <w:lang w:val="zh_TW" w:bidi="zh_TW"/>
        </w:rPr>
        <w:t>申10:5</w:t>
      </w:r>
      <w:r>
        <w:rPr>
          <w:lang w:val="zh_TW" w:bidi="zh_TW"/>
        </w:rPr>
        <w:t>；</w:t>
      </w:r>
      <w:r>
        <w:rPr>
          <w:lang w:val="zh_TW" w:bidi="zh_TW"/>
        </w:rPr>
        <w:t>來9:4–5</w:t>
      </w:r>
      <w:r>
        <w:rPr>
          <w:lang w:val="zh_TW" w:bidi="zh_TW"/>
        </w:rPr>
        <w:t>）；</w:t>
      </w:r>
      <w:r>
        <w:rPr>
          <w:lang w:val="zh_TW" w:bidi="zh_TW"/>
        </w:rPr>
        <w:t>後來他們卻將它當作神明敬拜。因此，</w:t>
      </w:r>
      <w:r>
        <w:rPr>
          <w:lang w:val="zh_TW" w:bidi="zh_TW"/>
        </w:rPr>
        <w:t>銅蛇就與其它異教崇拜的偶像一樣，必須被除去</w:t>
      </w:r>
      <w:r>
        <w:rPr>
          <w:lang w:val="zh_TW" w:bidi="zh_TW"/>
        </w:rPr>
        <w:t>。</w:t>
      </w:r>
      <w:r>
        <w:rPr>
          <w:lang w:val="zh_TW" w:bidi="zh_TW"/>
        </w:rPr>
        <w:t>這樣的偶像崇拜威脅了對獨一真神的敬拜（參</w:t>
      </w:r>
      <w:r>
        <w:rPr>
          <w:lang w:val="zh_TW" w:bidi="zh_TW"/>
        </w:rPr>
        <w:t>出32</w:t>
      </w:r>
      <w:r>
        <w:rPr>
          <w:lang w:val="zh_TW" w:bidi="zh_TW"/>
        </w:rPr>
        <w:t>）。</w:t>
      </w:r>
    </w:p>
    <w:p>
      <w:pPr/>
      <w:r>
        <w:rPr>
          <w:lang w:val="zh_TW" w:bidi="zh_TW"/>
        </w:rPr>
      </w:r>
      <w:r>
        <w:rPr>
          <w:lang w:val="zh_TW" w:bidi="zh_TW"/>
        </w:rPr>
        <w:t>耶穌曾引用銅蛇事件來預言自己將如何死去：「摩西在曠野怎樣舉蛇，人子也必照樣被舉起來」</w:t>
      </w:r>
      <w:r>
        <w:rPr>
          <w:lang w:val="zh_TW" w:bidi="zh_TW"/>
        </w:rPr>
        <w:t>（</w:t>
      </w:r>
      <w:r>
        <w:rPr>
          <w:lang w:val="zh_TW" w:bidi="zh_TW"/>
        </w:rPr>
        <w:t>約3:14–15</w:t>
      </w:r>
      <w:r>
        <w:rPr>
          <w:lang w:val="zh_TW" w:bidi="zh_TW"/>
        </w:rPr>
        <w:t>，另見</w:t>
      </w:r>
      <w:r>
        <w:rPr>
          <w:lang w:val="zh_TW" w:bidi="zh_TW"/>
        </w:rPr>
        <w:t>8:28</w:t>
      </w:r>
      <w:r>
        <w:rPr>
          <w:lang w:val="zh_TW" w:bidi="zh_TW"/>
        </w:rPr>
        <w:t>，</w:t>
      </w:r>
      <w:r>
        <w:rPr>
          <w:lang w:val="zh_TW" w:bidi="zh_TW"/>
        </w:rPr>
        <w:t>12:32–33</w:t>
      </w:r>
      <w:r>
        <w:rPr>
          <w:lang w:val="zh_TW" w:bidi="zh_TW"/>
        </w:rPr>
        <w:t>）。那銅蛇的形象成了蛇咬的醫治之法</w:t>
      </w:r>
      <w:r>
        <w:rPr>
          <w:lang w:val="zh_TW" w:bidi="zh_TW"/>
        </w:rPr>
        <w:t>；同樣，凡仰望基督十字架並接受祂犧牲的人，就得到永生的應許</w:t>
      </w:r>
      <w:r>
        <w:rPr>
          <w:lang w:val="zh_TW" w:bidi="zh_TW"/>
        </w:rPr>
        <w:t>（</w:t>
      </w:r>
      <w:r>
        <w:rPr>
          <w:lang w:val="zh_TW" w:bidi="zh_TW"/>
        </w:rPr>
        <w:t>約3:14–16</w:t>
      </w:r>
      <w:r>
        <w:rPr>
          <w:lang w:val="zh_TW" w:bidi="zh_TW"/>
        </w:rPr>
        <w:t>）。</w:t>
      </w:r>
    </w:p>
    <w:p>
      <w:pPr/>
      <w:r>
        <w:rPr>
          <w:lang w:val="zh_TW" w:bidi="zh_TW"/>
        </w:rPr>
      </w:r>
      <w:r>
        <w:rPr>
          <w:lang w:val="zh_TW" w:bidi="zh_TW"/>
        </w:rPr>
        <w:t>耶和華</w:t>
      </w:r>
      <w:r>
        <w:rPr>
          <w:lang w:val="zh_TW" w:bidi="zh_TW"/>
        </w:rPr>
        <w:t>使</w:t>
      </w:r>
      <w:r>
        <w:rPr>
          <w:lang w:val="zh_TW" w:bidi="zh_TW"/>
        </w:rPr>
        <w:t>毒蛇進入百姓中間，是為了懲罰以色列人在曠野中抱怨嗎哪的行為（</w:t>
      </w:r>
      <w:r>
        <w:rPr>
          <w:lang w:val="zh_TW" w:bidi="zh_TW"/>
        </w:rPr>
        <w:t>民21:4–9</w:t>
      </w:r>
      <w:r>
        <w:rPr>
          <w:lang w:val="zh_TW" w:bidi="zh_TW"/>
        </w:rPr>
        <w:t>）。耶穌則稱自己為「</w:t>
      </w:r>
      <w:r>
        <w:rPr>
          <w:lang w:val="zh_TW" w:bidi="zh_TW"/>
        </w:rPr>
        <w:t>天上來的真糧</w:t>
      </w:r>
      <w:r>
        <w:rPr>
          <w:lang w:val="zh_TW" w:bidi="zh_TW"/>
        </w:rPr>
        <w:t>」，是那賜下永生給衪子民的屬靈嗎哪（</w:t>
      </w:r>
      <w:r>
        <w:rPr>
          <w:lang w:val="zh_TW" w:bidi="zh_TW"/>
        </w:rPr>
        <w:t>約6:32–40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民21:4–9</w:t>
      </w:r>
      <w:r>
        <w:rPr>
          <w:lang w:val="zh_TW" w:bidi="zh_TW"/>
        </w:rPr>
        <w:t>；</w:t>
      </w:r>
      <w:r>
        <w:rPr>
          <w:lang w:val="zh_TW" w:bidi="zh_TW"/>
        </w:rPr>
        <w:t>王下18:1–4</w:t>
      </w:r>
      <w:r>
        <w:rPr>
          <w:lang w:val="zh_TW" w:bidi="zh_TW"/>
        </w:rPr>
        <w:t>；</w:t>
      </w:r>
      <w:r>
        <w:rPr>
          <w:lang w:val="zh_TW" w:bidi="zh_TW"/>
        </w:rPr>
        <w:t>約3:14–15</w:t>
      </w:r>
      <w:r>
        <w:rPr>
          <w:lang w:val="zh_TW" w:bidi="zh_TW"/>
        </w:rPr>
        <w:t>，</w:t>
      </w:r>
      <w:r>
        <w:rPr>
          <w:lang w:val="zh_TW" w:bidi="zh_TW"/>
        </w:rPr>
        <w:t>6:32–40</w:t>
      </w:r>
      <w:r>
        <w:rPr>
          <w:lang w:val="zh_TW" w:bidi="zh_TW"/>
        </w:rPr>
        <w:t>，</w:t>
      </w:r>
      <w:r>
        <w:rPr>
          <w:lang w:val="zh_TW" w:bidi="zh_TW"/>
        </w:rPr>
        <w:t>8:28</w:t>
      </w:r>
      <w:r>
        <w:rPr>
          <w:lang w:val="zh_TW" w:bidi="zh_TW"/>
        </w:rPr>
        <w:t>，</w:t>
      </w:r>
      <w:r>
        <w:rPr>
          <w:lang w:val="zh_TW" w:bidi="zh_TW"/>
        </w:rPr>
        <w:t>12:30–34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