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zi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自然啟示</w:t>
      </w:r>
      <w:r>
        <w:rPr>
          <w:lang w:val="zh_TW" w:bidi="zh_TW"/>
        </w:rPr>
      </w:r>
    </w:p>
    <w:p>
      <w:pPr/>
      <w:r>
        <w:rPr>
          <w:lang w:val="zh_TW" w:bidi="zh_TW"/>
        </w:rPr>
      </w:r>
      <w:r>
        <w:rPr>
          <w:lang w:val="zh_TW" w:bidi="zh_TW"/>
        </w:rPr>
        <w:t>神直接對人說話，稱之為</w:t>
      </w:r>
      <w:r>
        <w:rPr>
          <w:b/>
          <w:lang w:val="zh_TW" w:bidi="zh_TW"/>
        </w:rPr>
        <w:t>特殊啟示</w:t>
      </w:r>
      <w:r>
        <w:rPr>
          <w:lang w:val="zh_TW" w:bidi="zh_TW"/>
        </w:rPr>
        <w:t>（special revelation）。但神也透過</w:t>
      </w:r>
      <w:r>
        <w:rPr>
          <w:b/>
          <w:lang w:val="zh_TW" w:bidi="zh_TW"/>
        </w:rPr>
        <w:t>自然啟示</w:t>
      </w:r>
      <w:r>
        <w:rPr>
          <w:lang w:val="zh_TW" w:bidi="zh_TW"/>
        </w:rPr>
        <w:t>（natural revelation，又稱普遍啟示</w:t>
      </w:r>
      <w:r>
        <w:rPr>
          <w:lang w:val="zh_TW" w:bidi="zh_TW"/>
        </w:rPr>
        <w:t>〔</w:t>
      </w:r>
      <w:r>
        <w:rPr>
          <w:lang w:val="zh_TW" w:bidi="zh_TW"/>
        </w:rPr>
        <w:t>general revelation</w:t>
      </w:r>
      <w:r>
        <w:rPr>
          <w:lang w:val="zh_TW" w:bidi="zh_TW"/>
        </w:rPr>
        <w:t>〕</w:t>
      </w:r>
      <w:r>
        <w:rPr>
          <w:lang w:val="zh_TW" w:bidi="zh_TW"/>
        </w:rPr>
        <w:t>，因為是神向所有人顯明的）間接向人說話。這種啟示透過神所創造的大自然展現出來。例如，</w:t>
      </w:r>
      <w:r>
        <w:rPr>
          <w:lang w:val="zh_TW" w:bidi="zh_TW"/>
        </w:rPr>
        <w:t>詩篇十九篇</w:t>
      </w:r>
      <w:r>
        <w:rPr>
          <w:lang w:val="zh_TW" w:bidi="zh_TW"/>
        </w:rPr>
        <w:t>指出，神藉著祂的創造，使世上所有人都能認識祂（見</w:t>
      </w:r>
      <w:r>
        <w:rPr>
          <w:lang w:val="zh_TW" w:bidi="zh_TW"/>
        </w:rPr>
        <w:t>詩19:1–4</w:t>
      </w:r>
      <w:r>
        <w:rPr>
          <w:lang w:val="zh_TW" w:bidi="zh_TW"/>
        </w:rPr>
        <w:t>）。</w:t>
      </w:r>
    </w:p>
    <w:p>
      <w:pPr/>
      <w:r>
        <w:rPr>
          <w:lang w:val="zh_TW" w:bidi="zh_TW"/>
        </w:rPr>
      </w:r>
      <w:r>
        <w:rPr>
          <w:lang w:val="zh_TW" w:bidi="zh_TW"/>
        </w:rPr>
        <w:t>然而，不是所有人都會積極回應神的啟示。保羅在</w:t>
      </w:r>
      <w:r>
        <w:rPr>
          <w:lang w:val="zh_TW" w:bidi="zh_TW"/>
        </w:rPr>
        <w:t>羅馬書一章3節</w:t>
      </w:r>
      <w:r>
        <w:rPr>
          <w:lang w:val="zh_TW" w:bidi="zh_TW"/>
        </w:rPr>
        <w:t>解釋，因著亞當的罪，所有人都拒絕了原本可以透過受</w:t>
      </w:r>
      <w:r>
        <w:rPr>
          <w:lang w:val="zh_TW" w:bidi="zh_TW"/>
        </w:rPr>
        <w:t>造之物</w:t>
      </w:r>
      <w:r>
        <w:rPr>
          <w:lang w:val="zh_TW" w:bidi="zh_TW"/>
        </w:rPr>
        <w:t>認識的神。若沒有神的恩典，自然啟示只會定人的罪。正如保羅在</w:t>
      </w:r>
      <w:r>
        <w:rPr>
          <w:lang w:val="zh_TW" w:bidi="zh_TW"/>
        </w:rPr>
        <w:t>一章20節</w:t>
      </w:r>
      <w:r>
        <w:rPr>
          <w:lang w:val="zh_TW" w:bidi="zh_TW"/>
        </w:rPr>
        <w:t>中所說，這些「叫人無可推諉」。</w:t>
      </w:r>
    </w:p>
    <w:p>
      <w:pPr/>
      <w:r>
        <w:rPr>
          <w:lang w:val="zh_TW" w:bidi="zh_TW"/>
        </w:rPr>
      </w:r>
      <w:r>
        <w:rPr>
          <w:lang w:val="zh_TW" w:bidi="zh_TW"/>
        </w:rPr>
        <w:t>神仍然能使用衪的創造，引導人認識祂是唯一的真神。當神的恩典臨到，並透過自然啟示動工時，這世界的美麗與精妙就能激發人尋求造物主。保羅在雅典講道時，正是從自然啟示出發，引介耶穌的福音（</w:t>
      </w:r>
      <w:r>
        <w:rPr>
          <w:lang w:val="zh_TW" w:bidi="zh_TW"/>
        </w:rPr>
        <w:t>徒17:16–31</w:t>
      </w:r>
      <w:r>
        <w:rPr>
          <w:lang w:val="zh_TW" w:bidi="zh_TW"/>
        </w:rPr>
        <w:t>）。神在大自然和人性中的啟示，鼓勵人尋求衪；而人唯有藉著神在祂兒子耶穌基督裡所賜的特殊啟示，才能真正認識祂，並得著救恩。</w:t>
      </w:r>
    </w:p>
    <w:p>
      <w:pPr/>
      <w:r>
        <w:rPr>
          <w:lang w:val="zh_TW" w:bidi="zh_TW"/>
        </w:rPr>
      </w:r>
      <w:r>
        <w:rPr>
          <w:u w:val="single"/>
          <w:lang w:val="zh_TW" w:bidi="zh_TW"/>
        </w:rPr>
        <w:t>進深研究的經文段落</w:t>
      </w:r>
    </w:p>
    <w:p>
      <w:pPr/>
      <w:r>
        <w:rPr>
          <w:lang w:val="zh_TW" w:bidi="zh_TW"/>
        </w:rPr>
      </w:r>
      <w:r>
        <w:rPr>
          <w:lang w:val="zh_TW" w:bidi="zh_TW"/>
        </w:rPr>
        <w:t>詩19:1–4</w:t>
      </w:r>
      <w:r>
        <w:rPr>
          <w:lang w:val="zh_TW" w:bidi="zh_TW"/>
        </w:rPr>
        <w:t>；</w:t>
      </w:r>
      <w:r>
        <w:rPr>
          <w:lang w:val="zh_TW" w:bidi="zh_TW"/>
        </w:rPr>
        <w:t>徒14:15–17</w:t>
      </w:r>
      <w:r>
        <w:rPr>
          <w:lang w:val="zh_TW" w:bidi="zh_TW"/>
        </w:rPr>
        <w:t>；</w:t>
      </w:r>
      <w:r>
        <w:rPr>
          <w:lang w:val="zh_TW" w:bidi="zh_TW"/>
        </w:rPr>
        <w:t>徒17:24–29</w:t>
      </w:r>
      <w:r>
        <w:rPr>
          <w:lang w:val="zh_TW" w:bidi="zh_TW"/>
        </w:rPr>
        <w:t>；</w:t>
      </w:r>
      <w:r>
        <w:rPr>
          <w:lang w:val="zh_TW" w:bidi="zh_TW"/>
        </w:rPr>
        <w:t>羅1:19–21</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