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宗教虛偽</w:t>
      </w:r>
      <w:r>
        <w:rPr>
          <w:lang w:val="zh_TW" w:bidi="zh_TW"/>
        </w:rPr>
      </w:r>
    </w:p>
    <w:p>
      <w:pPr/>
      <w:r>
        <w:rPr>
          <w:lang w:val="zh_TW" w:bidi="zh_TW"/>
        </w:rPr>
      </w:r>
      <w:r>
        <w:rPr>
          <w:lang w:val="zh_TW" w:bidi="zh_TW"/>
        </w:rPr>
        <w:t>宗教虛偽是指人選擇性遵守規條，表面看似敬虔，但內心和生活沒有真正的改變。他們自誇敬虔，卻缺乏真實順服神的渴望。</w:t>
      </w:r>
    </w:p>
    <w:p>
      <w:pPr/>
      <w:r>
        <w:rPr>
          <w:lang w:val="zh_TW" w:bidi="zh_TW"/>
        </w:rPr>
      </w:r>
      <w:r>
        <w:rPr>
          <w:lang w:val="zh_TW" w:bidi="zh_TW"/>
        </w:rPr>
        <w:t>先知以賽亞面對的，就是這樣看似虔誠的百姓。他們禁食、禱告、守節日，在耶路撒冷獻祭。然而，神卻拒絕這一切。</w:t>
      </w:r>
    </w:p>
    <w:p>
      <w:pPr/>
      <w:r>
        <w:rPr>
          <w:lang w:val="zh_TW" w:bidi="zh_TW"/>
        </w:rPr>
      </w:r>
      <w:r>
        <w:rPr>
          <w:lang w:val="zh_TW" w:bidi="zh_TW"/>
        </w:rPr>
        <w:t>為什麼？這些宗教行動原是神所設立的，本身也有其價值；祂之所以拒絕，是因為他們的敬拜缺乏真誠，也缺乏神所要求的個人聖潔與社會公義（例如，見</w:t>
      </w:r>
      <w:r>
        <w:rPr>
          <w:lang w:val="zh_TW" w:bidi="zh_TW"/>
        </w:rPr>
        <w:t>利19:13–17</w:t>
      </w:r>
      <w:r>
        <w:rPr>
          <w:lang w:val="zh_TW" w:bidi="zh_TW"/>
        </w:rPr>
        <w:t>）。因此，猶大百姓成了宗教上的偽善者。</w:t>
      </w:r>
    </w:p>
    <w:p>
      <w:pPr/>
      <w:r>
        <w:rPr>
          <w:lang w:val="zh_TW" w:bidi="zh_TW"/>
        </w:rPr>
      </w:r>
      <w:r>
        <w:rPr>
          <w:lang w:val="zh_TW" w:bidi="zh_TW"/>
        </w:rPr>
        <w:t>多年以後，耶穌也公開指出法利賽人的虛偽。衪勸誡他們要全然遵行神的話語，而不是只做那些能贏得他人稱讚的部分（</w:t>
      </w:r>
      <w:r>
        <w:rPr>
          <w:lang w:val="zh_TW" w:bidi="zh_TW"/>
        </w:rPr>
        <w:t>太23:1–36</w:t>
      </w:r>
      <w:r>
        <w:rPr>
          <w:lang w:val="zh_TW" w:bidi="zh_TW"/>
        </w:rPr>
        <w:t>、尤其是</w:t>
      </w:r>
      <w:r>
        <w:rPr>
          <w:lang w:val="zh_TW" w:bidi="zh_TW"/>
        </w:rPr>
        <w:t>23:23</w:t>
      </w:r>
      <w:r>
        <w:rPr>
          <w:lang w:val="zh_TW" w:bidi="zh_TW"/>
        </w:rPr>
        <w:t>）。使徒保羅和雅各也指出，宗教儀式本身不能代表真正的屬靈生命（</w:t>
      </w:r>
      <w:r>
        <w:rPr>
          <w:lang w:val="zh_TW" w:bidi="zh_TW"/>
        </w:rPr>
        <w:t>林前3:1–23</w:t>
      </w:r>
      <w:r>
        <w:rPr>
          <w:lang w:val="zh_TW" w:bidi="zh_TW"/>
        </w:rPr>
        <w:t>；</w:t>
      </w:r>
      <w:r>
        <w:rPr>
          <w:lang w:val="zh_TW" w:bidi="zh_TW"/>
        </w:rPr>
        <w:t>雅1:21–2:13</w:t>
      </w:r>
      <w:r>
        <w:rPr>
          <w:lang w:val="zh_TW" w:bidi="zh_TW"/>
        </w:rPr>
        <w:t>）。</w:t>
      </w:r>
    </w:p>
    <w:p>
      <w:pPr/>
      <w:r>
        <w:rPr>
          <w:lang w:val="zh_TW" w:bidi="zh_TW"/>
        </w:rPr>
      </w:r>
      <w:r>
        <w:rPr>
          <w:lang w:val="zh_TW" w:bidi="zh_TW"/>
        </w:rPr>
        <w:t>耶穌對法利賽人的批評，同時也是對我們的提醒；我們不應效法他們（見</w:t>
      </w:r>
      <w:r>
        <w:rPr>
          <w:lang w:val="zh_TW" w:bidi="zh_TW"/>
        </w:rPr>
        <w:t>太6:1–18</w:t>
      </w:r>
      <w:r>
        <w:rPr>
          <w:lang w:val="zh_TW" w:bidi="zh_TW"/>
        </w:rPr>
        <w:t>；</w:t>
      </w:r>
      <w:r>
        <w:rPr>
          <w:lang w:val="zh_TW" w:bidi="zh_TW"/>
        </w:rPr>
        <w:t>彼前2:1</w:t>
      </w:r>
      <w:r>
        <w:rPr>
          <w:lang w:val="zh_TW" w:bidi="zh_TW"/>
        </w:rPr>
        <w:t>）。耶穌教導我們，在神面前與人面前都要真誠，並要遵行神一切的命令。我們對神的敬拜，不應停留在宗教形式與外在行為上。</w:t>
      </w:r>
    </w:p>
    <w:p>
      <w:pPr/>
      <w:r>
        <w:rPr>
          <w:lang w:val="zh_TW" w:bidi="zh_TW"/>
        </w:rPr>
      </w:r>
      <w:r>
        <w:rPr>
          <w:u w:val="single"/>
          <w:lang w:val="zh_TW" w:bidi="zh_TW"/>
        </w:rPr>
        <w:t>進深研究的經文段落</w:t>
      </w:r>
    </w:p>
    <w:p>
      <w:pPr/>
      <w:r>
        <w:rPr>
          <w:lang w:val="zh_TW" w:bidi="zh_TW"/>
        </w:rPr>
      </w:r>
      <w:r>
        <w:rPr>
          <w:lang w:val="zh_TW" w:bidi="zh_TW"/>
        </w:rPr>
        <w:t>詩50:16–23</w:t>
      </w:r>
      <w:r>
        <w:rPr>
          <w:lang w:val="zh_TW" w:bidi="zh_TW"/>
        </w:rPr>
        <w:t>；</w:t>
      </w:r>
      <w:r>
        <w:rPr>
          <w:lang w:val="zh_TW" w:bidi="zh_TW"/>
        </w:rPr>
        <w:t>箴15:8</w:t>
      </w:r>
      <w:r>
        <w:rPr>
          <w:lang w:val="zh_TW" w:bidi="zh_TW"/>
        </w:rPr>
        <w:t>，</w:t>
      </w:r>
      <w:r>
        <w:rPr>
          <w:lang w:val="zh_TW" w:bidi="zh_TW"/>
        </w:rPr>
        <w:t>26:23</w:t>
      </w:r>
      <w:r>
        <w:rPr>
          <w:lang w:val="zh_TW" w:bidi="zh_TW"/>
        </w:rPr>
        <w:t>；</w:t>
      </w:r>
      <w:r>
        <w:rPr>
          <w:lang w:val="zh_TW" w:bidi="zh_TW"/>
        </w:rPr>
        <w:t>賽1:11–15</w:t>
      </w:r>
      <w:r>
        <w:rPr>
          <w:lang w:val="zh_TW" w:bidi="zh_TW"/>
        </w:rPr>
        <w:t>，</w:t>
      </w:r>
      <w:r>
        <w:rPr>
          <w:lang w:val="zh_TW" w:bidi="zh_TW"/>
        </w:rPr>
        <w:t>29:13–15</w:t>
      </w:r>
      <w:r>
        <w:rPr>
          <w:lang w:val="zh_TW" w:bidi="zh_TW"/>
        </w:rPr>
        <w:t>，</w:t>
      </w:r>
      <w:r>
        <w:rPr>
          <w:lang w:val="zh_TW" w:bidi="zh_TW"/>
        </w:rPr>
        <w:t>58:2–7</w:t>
      </w:r>
      <w:r>
        <w:rPr>
          <w:lang w:val="zh_TW" w:bidi="zh_TW"/>
        </w:rPr>
        <w:t>；</w:t>
      </w:r>
      <w:r>
        <w:rPr>
          <w:lang w:val="zh_TW" w:bidi="zh_TW"/>
        </w:rPr>
        <w:t>耶7:4–10</w:t>
      </w:r>
      <w:r>
        <w:rPr>
          <w:lang w:val="zh_TW" w:bidi="zh_TW"/>
        </w:rPr>
        <w:t>，</w:t>
      </w:r>
      <w:r>
        <w:rPr>
          <w:lang w:val="zh_TW" w:bidi="zh_TW"/>
        </w:rPr>
        <w:t>12:2</w:t>
      </w:r>
      <w:r>
        <w:rPr>
          <w:lang w:val="zh_TW" w:bidi="zh_TW"/>
        </w:rPr>
        <w:t>；</w:t>
      </w:r>
      <w:r>
        <w:rPr>
          <w:lang w:val="zh_TW" w:bidi="zh_TW"/>
        </w:rPr>
        <w:t>結33:30–31</w:t>
      </w:r>
      <w:r>
        <w:rPr>
          <w:lang w:val="zh_TW" w:bidi="zh_TW"/>
        </w:rPr>
        <w:t>；</w:t>
      </w:r>
      <w:r>
        <w:rPr>
          <w:lang w:val="zh_TW" w:bidi="zh_TW"/>
        </w:rPr>
        <w:t>何8:13</w:t>
      </w:r>
      <w:r>
        <w:rPr>
          <w:lang w:val="zh_TW" w:bidi="zh_TW"/>
        </w:rPr>
        <w:t>；</w:t>
      </w:r>
      <w:r>
        <w:rPr>
          <w:lang w:val="zh_TW" w:bidi="zh_TW"/>
        </w:rPr>
        <w:t>摩5:21–24</w:t>
      </w:r>
      <w:r>
        <w:rPr>
          <w:lang w:val="zh_TW" w:bidi="zh_TW"/>
        </w:rPr>
        <w:t>；</w:t>
      </w:r>
      <w:r>
        <w:rPr>
          <w:lang w:val="zh_TW" w:bidi="zh_TW"/>
        </w:rPr>
        <w:t>彌3:11</w:t>
      </w:r>
      <w:r>
        <w:rPr>
          <w:lang w:val="zh_TW" w:bidi="zh_TW"/>
        </w:rPr>
        <w:t>；</w:t>
      </w:r>
      <w:r>
        <w:rPr>
          <w:lang w:val="zh_TW" w:bidi="zh_TW"/>
        </w:rPr>
        <w:t>亞7:5–6</w:t>
      </w:r>
      <w:r>
        <w:rPr>
          <w:lang w:val="zh_TW" w:bidi="zh_TW"/>
        </w:rPr>
        <w:t>；</w:t>
      </w:r>
      <w:r>
        <w:rPr>
          <w:lang w:val="zh_TW" w:bidi="zh_TW"/>
        </w:rPr>
        <w:t>瑪2:13–14</w:t>
      </w:r>
      <w:r>
        <w:rPr>
          <w:lang w:val="zh_TW" w:bidi="zh_TW"/>
        </w:rPr>
        <w:t>；</w:t>
      </w:r>
      <w:r>
        <w:rPr>
          <w:lang w:val="zh_TW" w:bidi="zh_TW"/>
        </w:rPr>
        <w:t>太6:1–18</w:t>
      </w:r>
      <w:r>
        <w:rPr>
          <w:lang w:val="zh_TW" w:bidi="zh_TW"/>
        </w:rPr>
        <w:t>，</w:t>
      </w:r>
      <w:r>
        <w:rPr>
          <w:lang w:val="zh_TW" w:bidi="zh_TW"/>
        </w:rPr>
        <w:t>23:1–36</w:t>
      </w:r>
      <w:r>
        <w:rPr>
          <w:lang w:val="zh_TW" w:bidi="zh_TW"/>
        </w:rPr>
        <w:t>；</w:t>
      </w:r>
      <w:r>
        <w:rPr>
          <w:lang w:val="zh_TW" w:bidi="zh_TW"/>
        </w:rPr>
        <w:t>多1:15–16</w:t>
      </w:r>
      <w:r>
        <w:rPr>
          <w:lang w:val="zh_TW" w:bidi="zh_TW"/>
        </w:rPr>
        <w:t>；</w:t>
      </w:r>
      <w:r>
        <w:rPr>
          <w:lang w:val="zh_TW" w:bidi="zh_TW"/>
        </w:rPr>
        <w:t>雅1:21–27</w:t>
      </w:r>
      <w:r>
        <w:rPr>
          <w:lang w:val="zh_TW" w:bidi="zh_TW"/>
        </w:rPr>
        <w:t>；</w:t>
      </w:r>
      <w:r>
        <w:rPr>
          <w:lang w:val="zh_TW" w:bidi="zh_TW"/>
        </w:rPr>
        <w:t>彼前2:1</w:t>
      </w:r>
      <w:r>
        <w:rPr>
          <w:lang w:val="zh_TW" w:bidi="zh_TW"/>
        </w:rPr>
        <w:t>；</w:t>
      </w:r>
      <w:r>
        <w:rPr>
          <w:lang w:val="zh_TW" w:bidi="zh_TW"/>
        </w:rPr>
        <w:t>約一2:4</w:t>
      </w:r>
      <w:r>
        <w:rPr>
          <w:lang w:val="zh_TW" w:bidi="zh_TW"/>
        </w:rPr>
        <w:t>、</w:t>
      </w:r>
      <w:r>
        <w:rPr>
          <w:lang w:val="zh_TW" w:bidi="zh_TW"/>
        </w:rPr>
        <w:t>9</w:t>
      </w:r>
      <w:r>
        <w:rPr>
          <w:lang w:val="zh_TW" w:bidi="zh_TW"/>
        </w:rPr>
        <w:t>，</w:t>
      </w:r>
      <w:r>
        <w:rPr>
          <w:lang w:val="zh_TW" w:bidi="zh_TW"/>
        </w:rPr>
        <w:t>4:20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