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詛咒和祝福</w:t>
      </w:r>
      <w:r>
        <w:rPr>
          <w:lang w:val="zh_TW" w:bidi="zh_TW"/>
        </w:rPr>
      </w:r>
    </w:p>
    <w:p>
      <w:pPr/>
      <w:r>
        <w:rPr>
          <w:lang w:val="zh_TW" w:bidi="zh_TW"/>
        </w:rPr>
      </w:r>
      <w:r>
        <w:rPr>
          <w:lang w:val="zh_TW" w:bidi="zh_TW"/>
        </w:rPr>
        <w:t>在古代近東，幾乎所有條約或約的文獻中都包含了咒詛與賜福的內容。咒詛針對違背約定的人，而祝福則是給那些信守約的人。這種形式在宗主-附庸（大王-小王或百姓）所立的約中特別明顯，如申命記就是這樣一卷書（見</w:t>
      </w:r>
      <w:r>
        <w:rPr>
          <w:lang w:val="zh_TW" w:bidi="zh_TW"/>
        </w:rPr>
        <w:t>申命記簡介</w:t>
      </w:r>
      <w:r>
        <w:rPr>
          <w:lang w:val="zh_TW" w:bidi="zh_TW"/>
        </w:rPr>
        <w:t>，「文學形式」）。</w:t>
      </w:r>
    </w:p>
    <w:p>
      <w:pPr/>
      <w:r>
        <w:rPr>
          <w:lang w:val="zh_TW" w:bidi="zh_TW"/>
        </w:rPr>
      </w:r>
      <w:r>
        <w:rPr>
          <w:lang w:val="zh_TW" w:bidi="zh_TW"/>
        </w:rPr>
        <w:t>申命記向以色列百姓說明神對他們的期望。這約要求以色列順服神，而以色列民也承諾要遵守（</w:t>
      </w:r>
      <w:r>
        <w:rPr>
          <w:lang w:val="zh_TW" w:bidi="zh_TW"/>
        </w:rPr>
        <w:t>出19:8</w:t>
      </w:r>
      <w:r>
        <w:rPr>
          <w:lang w:val="zh_TW" w:bidi="zh_TW"/>
        </w:rPr>
        <w:t>）。其中有關咒詛與祝福的經文說明了神如何賜福順服祂的人，並懲罰悖逆祂的人（</w:t>
      </w:r>
      <w:r>
        <w:rPr>
          <w:lang w:val="zh_TW" w:bidi="zh_TW"/>
        </w:rPr>
        <w:t>申27:1–29:1</w:t>
      </w:r>
      <w:r>
        <w:rPr>
          <w:lang w:val="zh_TW" w:bidi="zh_TW"/>
        </w:rPr>
        <w:t>）。</w:t>
      </w:r>
    </w:p>
    <w:p>
      <w:pPr/>
      <w:r>
        <w:rPr>
          <w:lang w:val="zh_TW" w:bidi="zh_TW"/>
        </w:rPr>
      </w:r>
      <w:r>
        <w:rPr>
          <w:lang w:val="zh_TW" w:bidi="zh_TW"/>
        </w:rPr>
        <w:t>這段經文對咒詛的描述多於賜福，可能是因為人們往往更關注應許而忽略警告。祝福的應許較容易理解，因為它們關乎未來的平安；相對地，審判較難掌握，因此需要詳細說明。</w:t>
      </w:r>
    </w:p>
    <w:p>
      <w:pPr/>
      <w:r>
        <w:rPr>
          <w:lang w:val="zh_TW" w:bidi="zh_TW"/>
        </w:rPr>
      </w:r>
      <w:r>
        <w:rPr>
          <w:lang w:val="zh_TW" w:bidi="zh_TW"/>
        </w:rPr>
        <w:t>神強調咒詛，是為了凸顯作惡的後果。耶穌關於末世的警告也與這些警告相呼應（</w:t>
      </w:r>
      <w:r>
        <w:rPr>
          <w:lang w:val="zh_TW" w:bidi="zh_TW"/>
        </w:rPr>
        <w:t>太24–25章</w:t>
      </w:r>
      <w:r>
        <w:rPr>
          <w:lang w:val="zh_TW" w:bidi="zh_TW"/>
        </w:rPr>
        <w:t>）。</w:t>
      </w:r>
    </w:p>
    <w:p>
      <w:pPr/>
      <w:r>
        <w:rPr>
          <w:lang w:val="zh_TW" w:bidi="zh_TW"/>
        </w:rPr>
      </w:r>
      <w:r>
        <w:rPr>
          <w:lang w:val="zh_TW" w:bidi="zh_TW"/>
        </w:rPr>
        <w:t>以色列歷史正好印證了神如何實現祂所應許的賜福與咒詛：當以色列遵守與神所立的約，神就賜福給他們。當他們悖逆，神就施行審判。以色列的悖逆在</w:t>
      </w:r>
      <w:r>
        <w:rPr>
          <w:lang w:val="zh_TW" w:bidi="zh_TW"/>
        </w:rPr>
        <w:t>列王紀下十七章7至20節</w:t>
      </w:r>
      <w:r>
        <w:rPr>
          <w:lang w:val="zh_TW" w:bidi="zh_TW"/>
        </w:rPr>
        <w:t>中有清楚的總結。當以色列人違背前兩條誡命時（</w:t>
      </w:r>
      <w:r>
        <w:rPr>
          <w:lang w:val="zh_TW" w:bidi="zh_TW"/>
        </w:rPr>
        <w:t>申5:7–10</w:t>
      </w:r>
      <w:r>
        <w:rPr>
          <w:lang w:val="zh_TW" w:bidi="zh_TW"/>
        </w:rPr>
        <w:t>），他們就等於背棄了整個約。他們的叛逆使</w:t>
      </w:r>
      <w:r>
        <w:rPr>
          <w:lang w:val="zh_TW" w:bidi="zh_TW"/>
        </w:rPr>
        <w:t>申命記第二十八章</w:t>
      </w:r>
      <w:r>
        <w:rPr>
          <w:lang w:val="zh_TW" w:bidi="zh_TW"/>
        </w:rPr>
        <w:t>中的咒詛臨到他們身上。</w:t>
      </w:r>
    </w:p>
    <w:p>
      <w:pPr/>
      <w:r>
        <w:rPr>
          <w:lang w:val="zh_TW" w:bidi="zh_TW"/>
        </w:rPr>
      </w:r>
      <w:r>
        <w:rPr>
          <w:u w:val="single"/>
          <w:lang w:val="zh_TW" w:bidi="zh_TW"/>
        </w:rPr>
        <w:t>進深研究的經文段落</w:t>
      </w:r>
    </w:p>
    <w:p>
      <w:pPr/>
      <w:r>
        <w:rPr>
          <w:lang w:val="zh_TW" w:bidi="zh_TW"/>
        </w:rPr>
      </w:r>
      <w:r>
        <w:rPr>
          <w:lang w:val="zh_TW" w:bidi="zh_TW"/>
        </w:rPr>
        <w:t>創9:24–27</w:t>
      </w:r>
      <w:r>
        <w:rPr>
          <w:lang w:val="zh_TW" w:bidi="zh_TW"/>
        </w:rPr>
        <w:t>；</w:t>
      </w:r>
      <w:r>
        <w:rPr>
          <w:lang w:val="zh_TW" w:bidi="zh_TW"/>
        </w:rPr>
        <w:t>利26:3–45</w:t>
      </w:r>
      <w:r>
        <w:rPr>
          <w:lang w:val="zh_TW" w:bidi="zh_TW"/>
        </w:rPr>
        <w:t>；</w:t>
      </w:r>
      <w:r>
        <w:rPr>
          <w:lang w:val="zh_TW" w:bidi="zh_TW"/>
        </w:rPr>
        <w:t>申8:7–20，</w:t>
      </w:r>
      <w:r>
        <w:rPr>
          <w:lang w:val="zh_TW" w:bidi="zh_TW"/>
        </w:rPr>
        <w:t>11:29，</w:t>
      </w:r>
      <w:r>
        <w:rPr>
          <w:lang w:val="zh_TW" w:bidi="zh_TW"/>
        </w:rPr>
        <w:t>申27:1–29:1</w:t>
      </w:r>
      <w:r>
        <w:rPr>
          <w:lang w:val="zh_TW" w:bidi="zh_TW"/>
        </w:rPr>
        <w:t>；</w:t>
      </w:r>
      <w:r>
        <w:rPr>
          <w:lang w:val="zh_TW" w:bidi="zh_TW"/>
        </w:rPr>
        <w:t>書8:33–35</w:t>
      </w:r>
      <w:r>
        <w:rPr>
          <w:lang w:val="zh_TW" w:bidi="zh_TW"/>
        </w:rPr>
        <w:t>；</w:t>
      </w:r>
      <w:r>
        <w:rPr>
          <w:lang w:val="zh_TW" w:bidi="zh_TW"/>
        </w:rPr>
        <w:t>王下17:7–20</w:t>
      </w:r>
      <w:r>
        <w:rPr>
          <w:lang w:val="zh_TW" w:bidi="zh_TW"/>
        </w:rPr>
        <w:t>；</w:t>
      </w:r>
      <w:r>
        <w:rPr>
          <w:lang w:val="zh_TW" w:bidi="zh_TW"/>
        </w:rPr>
        <w:t>代下36:17–21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