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الزواج الكتابي</w:t>
      </w:r>
      <w:r>
        <w:rPr>
          <w:rtl/>
          <w:cs/>
          <w:lang w:val="ar_AE" w:bidi="ar_AE"/>
        </w:rPr>
      </w:r>
    </w:p>
    <w:p>
      <w:pPr>
        <w:bidi/>
      </w:pPr>
      <w:r>
        <w:rPr>
          <w:rtl/>
          <w:cs/>
          <w:lang w:val="ar_AE" w:bidi="ar_AE"/>
        </w:rPr>
      </w:r>
      <w:r>
        <w:rPr>
          <w:rtl/>
          <w:cs/>
          <w:lang w:val="ar_AE" w:bidi="ar_AE"/>
        </w:rPr>
        <w:t>تصوِّر روايةُ الخلقِ اللهَ على أنَّه حاضرٌ مع أول اتّحادٍ بشري، وذلك في المكان المقدَّس الذي هو الجنّة (</w:t>
      </w:r>
      <w:r>
        <w:rPr>
          <w:rtl/>
          <w:cs/>
          <w:lang w:val="ar_AE" w:bidi="ar_AE"/>
        </w:rPr>
        <w:t>تكوين 2:18–25</w:t>
      </w:r>
      <w:r>
        <w:rPr>
          <w:rtl/>
          <w:cs/>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r>
        <w:rPr>
          <w:rtl/>
          <w:cs/>
          <w:lang w:val="ar_AE" w:bidi="ar_AE"/>
        </w:rPr>
        <w:t>ملاخي 2:10–16</w:t>
      </w:r>
      <w:r>
        <w:rPr>
          <w:rtl/>
          <w:cs/>
          <w:lang w:val="ar_AE" w:bidi="ar_AE"/>
        </w:rPr>
        <w:t xml:space="preserve">; قارن </w:t>
      </w:r>
      <w:r>
        <w:rPr>
          <w:rtl/>
          <w:cs/>
          <w:lang w:val="ar_AE" w:bidi="ar_AE"/>
        </w:rPr>
        <w:t>تكوين 39:6–9</w:t>
      </w:r>
      <w:r>
        <w:rPr>
          <w:rtl/>
          <w:cs/>
          <w:lang w:val="ar_AE" w:bidi="ar_AE"/>
        </w:rPr>
        <w:t xml:space="preserve">; </w:t>
      </w:r>
      <w:r>
        <w:rPr>
          <w:rtl/>
          <w:cs/>
          <w:lang w:val="ar_AE" w:bidi="ar_AE"/>
        </w:rPr>
        <w:t>إرميا 3:1</w:t>
      </w:r>
      <w:r>
        <w:rPr>
          <w:rtl/>
          <w:cs/>
          <w:lang w:val="ar_AE" w:bidi="ar_AE"/>
        </w:rPr>
        <w:t xml:space="preserve">; </w:t>
      </w:r>
      <w:r>
        <w:rPr>
          <w:rtl/>
          <w:cs/>
          <w:lang w:val="ar_AE" w:bidi="ar_AE"/>
        </w:rPr>
        <w:t>1 كورنثوس 6:9–10</w:t>
      </w:r>
      <w:r>
        <w:rPr>
          <w:rtl/>
          <w:cs/>
          <w:lang w:val="ar_AE" w:bidi="ar_AE"/>
        </w:rPr>
        <w:t xml:space="preserve">; </w:t>
      </w:r>
      <w:r>
        <w:rPr>
          <w:rtl/>
          <w:cs/>
          <w:lang w:val="ar_AE" w:bidi="ar_AE"/>
        </w:rPr>
        <w:t>عبرانيين 13:4</w:t>
      </w:r>
      <w:r>
        <w:rPr>
          <w:rtl/>
          <w:cs/>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r>
        <w:rPr>
          <w:rtl/>
          <w:cs/>
          <w:lang w:val="ar_AE" w:bidi="ar_AE"/>
        </w:rPr>
        <w:t>لاويين 20:10–12</w:t>
      </w:r>
      <w:r>
        <w:rPr>
          <w:rtl/>
          <w:cs/>
          <w:lang w:val="ar_AE" w:bidi="ar_AE"/>
        </w:rPr>
        <w:t xml:space="preserve">; </w:t>
      </w:r>
      <w:r>
        <w:rPr>
          <w:rtl/>
          <w:cs/>
          <w:lang w:val="ar_AE" w:bidi="ar_AE"/>
        </w:rPr>
        <w:t>تثنية 22:22</w:t>
      </w:r>
      <w:r>
        <w:rPr>
          <w:rtl/>
          <w:cs/>
          <w:lang w:val="ar_AE" w:bidi="ar_AE"/>
        </w:rPr>
        <w:t xml:space="preserve">; </w:t>
      </w:r>
      <w:r>
        <w:rPr>
          <w:rtl/>
          <w:cs/>
          <w:lang w:val="ar_AE" w:bidi="ar_AE"/>
        </w:rPr>
        <w:t>إرميا 29:20–23</w:t>
      </w:r>
      <w:r>
        <w:rPr>
          <w:rtl/>
          <w:cs/>
          <w:lang w:val="ar_AE" w:bidi="ar_AE"/>
        </w:rPr>
        <w:t>).</w:t>
      </w:r>
    </w:p>
    <w:p>
      <w:pPr>
        <w:bidi/>
      </w:pPr>
      <w:r>
        <w:rPr>
          <w:rtl/>
          <w:cs/>
          <w:lang w:val="ar_AE" w:bidi="ar_AE"/>
        </w:rPr>
      </w:r>
      <w:r>
        <w:rPr>
          <w:rtl/>
          <w:cs/>
          <w:lang w:val="ar_AE" w:bidi="ar_AE"/>
        </w:rPr>
        <w:t xml:space="preserve">الزواج يُعتبر استعارة لعلاقة الرب بشعبه (انظر </w:t>
      </w:r>
      <w:r>
        <w:rPr>
          <w:rtl/>
          <w:cs/>
          <w:lang w:val="ar_AE" w:bidi="ar_AE"/>
        </w:rPr>
        <w:t>خروج 19:3–6</w:t>
      </w:r>
      <w:r>
        <w:rPr>
          <w:rtl/>
          <w:cs/>
          <w:lang w:val="ar_AE" w:bidi="ar_AE"/>
        </w:rPr>
        <w:t xml:space="preserve">; </w:t>
      </w:r>
      <w:r>
        <w:rPr>
          <w:rtl/>
          <w:cs/>
          <w:lang w:val="ar_AE" w:bidi="ar_AE"/>
        </w:rPr>
        <w:t>20:2–6</w:t>
      </w:r>
      <w:r>
        <w:rPr>
          <w:rtl/>
          <w:cs/>
          <w:lang w:val="ar_AE" w:bidi="ar_AE"/>
        </w:rPr>
        <w:t xml:space="preserve">; </w:t>
      </w:r>
      <w:r>
        <w:rPr>
          <w:rtl/>
          <w:cs/>
          <w:lang w:val="ar_AE" w:bidi="ar_AE"/>
        </w:rPr>
        <w:t>34:14</w:t>
      </w:r>
      <w:r>
        <w:rPr>
          <w:rtl/>
          <w:cs/>
          <w:lang w:val="ar_AE" w:bidi="ar_AE"/>
        </w:rPr>
        <w:t xml:space="preserve">; </w:t>
      </w:r>
      <w:r>
        <w:rPr>
          <w:rtl/>
          <w:cs/>
          <w:lang w:val="ar_AE" w:bidi="ar_AE"/>
        </w:rPr>
        <w:t>إشعياء 54:5</w:t>
      </w:r>
      <w:r>
        <w:rPr>
          <w:rtl/>
          <w:cs/>
          <w:lang w:val="ar_AE" w:bidi="ar_AE"/>
        </w:rPr>
        <w:t xml:space="preserve">; </w:t>
      </w:r>
      <w:r>
        <w:rPr>
          <w:rtl/>
          <w:cs/>
          <w:lang w:val="ar_AE" w:bidi="ar_AE"/>
        </w:rPr>
        <w:t>حزقيال 16</w:t>
      </w:r>
      <w:r>
        <w:rPr>
          <w:rtl/>
          <w:cs/>
          <w:lang w:val="ar_AE" w:bidi="ar_AE"/>
        </w:rPr>
        <w:t xml:space="preserve">; </w:t>
      </w:r>
      <w:r>
        <w:rPr>
          <w:rtl/>
          <w:cs/>
          <w:lang w:val="ar_AE" w:bidi="ar_AE"/>
        </w:rPr>
        <w:t>هوشع 2:19–20</w:t>
      </w:r>
      <w:r>
        <w:rPr>
          <w:rtl/>
          <w:cs/>
          <w:lang w:val="ar_AE" w:bidi="ar_AE"/>
        </w:rPr>
        <w:t xml:space="preserve">). في البداية كان استعارة لعلاقته مع شعب إسرائيل ثم لعلاقته مع الكنيسة (انظر </w:t>
      </w:r>
      <w:r>
        <w:rPr>
          <w:rtl/>
          <w:cs/>
          <w:lang w:val="ar_AE" w:bidi="ar_AE"/>
        </w:rPr>
        <w:t>2 كورنثوس 11:2</w:t>
      </w:r>
      <w:r>
        <w:rPr>
          <w:rtl/>
          <w:cs/>
          <w:lang w:val="ar_AE" w:bidi="ar_AE"/>
        </w:rPr>
        <w:t xml:space="preserve">; </w:t>
      </w:r>
      <w:r>
        <w:rPr>
          <w:rtl/>
          <w:cs/>
          <w:lang w:val="ar_AE" w:bidi="ar_AE"/>
        </w:rPr>
        <w:t>أفسس 5:21–33</w:t>
      </w:r>
      <w:r>
        <w:rPr>
          <w:rtl/>
          <w:cs/>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r>
        <w:rPr>
          <w:rtl/>
          <w:cs/>
          <w:lang w:val="ar_AE" w:bidi="ar_AE"/>
        </w:rPr>
        <w:t>رؤيا 19:6–9</w:t>
      </w:r>
      <w:r>
        <w:rPr>
          <w:rtl/>
          <w:cs/>
          <w:lang w:val="ar_AE" w:bidi="ar_AE"/>
        </w:rPr>
        <w:t>). سيعيش المسيح إلى الأبد مع شعبه الأمين في المجد (</w:t>
      </w:r>
      <w:r>
        <w:rPr>
          <w:rtl/>
          <w:cs/>
          <w:lang w:val="ar_AE" w:bidi="ar_AE"/>
        </w:rPr>
        <w:t>رؤيا 19:7</w:t>
      </w:r>
      <w:r>
        <w:rPr>
          <w:rtl/>
          <w:cs/>
          <w:lang w:val="ar_AE" w:bidi="ar_AE"/>
        </w:rPr>
        <w:t xml:space="preserve">; </w:t>
      </w:r>
      <w:r>
        <w:rPr>
          <w:rtl/>
          <w:cs/>
          <w:lang w:val="ar_AE" w:bidi="ar_AE"/>
        </w:rPr>
        <w:t>21:2</w:t>
      </w:r>
      <w:r>
        <w:rPr>
          <w:rtl/>
          <w:cs/>
          <w:lang w:val="ar_AE" w:bidi="ar_AE"/>
        </w:rPr>
        <w:t xml:space="preserve">, </w:t>
      </w:r>
      <w:r>
        <w:rPr>
          <w:rtl/>
          <w:cs/>
          <w:lang w:val="ar_AE" w:bidi="ar_AE"/>
        </w:rPr>
        <w:t>9</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2:18–25</w:t>
      </w:r>
      <w:r>
        <w:rPr>
          <w:rtl/>
          <w:cs/>
          <w:lang w:val="ar_AE" w:bidi="ar_AE"/>
        </w:rPr>
        <w:t xml:space="preserve">; </w:t>
      </w:r>
      <w:r>
        <w:rPr>
          <w:rtl/>
          <w:cs/>
          <w:lang w:val="ar_AE" w:bidi="ar_AE"/>
        </w:rPr>
        <w:t>24:65–67</w:t>
      </w:r>
      <w:r>
        <w:rPr>
          <w:rtl/>
          <w:cs/>
          <w:lang w:val="ar_AE" w:bidi="ar_AE"/>
        </w:rPr>
        <w:t xml:space="preserve">; </w:t>
      </w:r>
      <w:r>
        <w:rPr>
          <w:rtl/>
          <w:cs/>
          <w:lang w:val="ar_AE" w:bidi="ar_AE"/>
        </w:rPr>
        <w:t>مزمور 45:8–15</w:t>
      </w:r>
      <w:r>
        <w:rPr>
          <w:rtl/>
          <w:cs/>
          <w:lang w:val="ar_AE" w:bidi="ar_AE"/>
        </w:rPr>
        <w:t xml:space="preserve">; </w:t>
      </w:r>
      <w:r>
        <w:rPr>
          <w:rtl/>
          <w:cs/>
          <w:lang w:val="ar_AE" w:bidi="ar_AE"/>
        </w:rPr>
        <w:t>إشعياء 54:5</w:t>
      </w:r>
      <w:r>
        <w:rPr>
          <w:rtl/>
          <w:cs/>
          <w:lang w:val="ar_AE" w:bidi="ar_AE"/>
        </w:rPr>
        <w:t xml:space="preserve">; </w:t>
      </w:r>
      <w:r>
        <w:rPr>
          <w:rtl/>
          <w:cs/>
          <w:lang w:val="ar_AE" w:bidi="ar_AE"/>
        </w:rPr>
        <w:t>هوشع 2:19–20</w:t>
      </w:r>
      <w:r>
        <w:rPr>
          <w:rtl/>
          <w:cs/>
          <w:lang w:val="ar_AE" w:bidi="ar_AE"/>
        </w:rPr>
        <w:t xml:space="preserve">; </w:t>
      </w:r>
      <w:r>
        <w:rPr>
          <w:rtl/>
          <w:cs/>
          <w:lang w:val="ar_AE" w:bidi="ar_AE"/>
        </w:rPr>
        <w:t>ملاخي 2:10–16</w:t>
      </w:r>
      <w:r>
        <w:rPr>
          <w:rtl/>
          <w:cs/>
          <w:lang w:val="ar_AE" w:bidi="ar_AE"/>
        </w:rPr>
        <w:t xml:space="preserve">; </w:t>
      </w:r>
      <w:r>
        <w:rPr>
          <w:rtl/>
          <w:cs/>
          <w:lang w:val="ar_AE" w:bidi="ar_AE"/>
        </w:rPr>
        <w:t>1 كورنثوس 7:1–40</w:t>
      </w:r>
      <w:r>
        <w:rPr>
          <w:rtl/>
          <w:cs/>
          <w:lang w:val="ar_AE" w:bidi="ar_AE"/>
        </w:rPr>
        <w:t xml:space="preserve">; </w:t>
      </w:r>
      <w:r>
        <w:rPr>
          <w:rtl/>
          <w:cs/>
          <w:lang w:val="ar_AE" w:bidi="ar_AE"/>
        </w:rPr>
        <w:t>2 كورنثوس 6:14–16</w:t>
      </w:r>
      <w:r>
        <w:rPr>
          <w:rtl/>
          <w:cs/>
          <w:lang w:val="ar_AE" w:bidi="ar_AE"/>
        </w:rPr>
        <w:t xml:space="preserve">; </w:t>
      </w:r>
      <w:r>
        <w:rPr>
          <w:rtl/>
          <w:cs/>
          <w:lang w:val="ar_AE" w:bidi="ar_AE"/>
        </w:rPr>
        <w:t>أفسس 5:21–33</w:t>
      </w:r>
      <w:r>
        <w:rPr>
          <w:rtl/>
          <w:cs/>
          <w:lang w:val="ar_AE" w:bidi="ar_AE"/>
        </w:rPr>
        <w:t xml:space="preserve">; </w:t>
      </w:r>
      <w:r>
        <w:rPr>
          <w:rtl/>
          <w:cs/>
          <w:lang w:val="ar_AE" w:bidi="ar_AE"/>
        </w:rPr>
        <w:t>عبرانيين 13:4</w:t>
      </w:r>
      <w:r>
        <w:rPr>
          <w:rtl/>
          <w:cs/>
          <w:lang w:val="ar_AE" w:bidi="ar_AE"/>
        </w:rPr>
        <w:t xml:space="preserve">; </w:t>
      </w:r>
      <w:r>
        <w:rPr>
          <w:rtl/>
          <w:cs/>
          <w:lang w:val="ar_AE" w:bidi="ar_AE"/>
        </w:rPr>
        <w:t>1 بطرس 3:1–7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الزواج والجنس</w:t>
      </w:r>
      <w:r>
        <w:rPr>
          <w:rtl/>
          <w:cs/>
          <w:lang w:val="ar_AE" w:bidi="ar_AE"/>
        </w:rPr>
      </w:r>
    </w:p>
    <w:p>
      <w:pPr>
        <w:bidi/>
      </w:pPr>
      <w:r>
        <w:rPr>
          <w:rtl/>
          <w:cs/>
          <w:lang w:val="ar_AE" w:bidi="ar_AE"/>
        </w:rPr>
      </w:r>
      <w:r>
        <w:rPr>
          <w:rtl/>
          <w:cs/>
          <w:lang w:val="ar_AE" w:bidi="ar_AE"/>
        </w:rPr>
        <w:t>يعتبر الكتاب المقدس الزواج مقدسًا منذ البداية، ويُعد التعبير الجنسي جزءًا مهمًا منه (</w:t>
      </w:r>
      <w:r>
        <w:rPr>
          <w:rtl/>
          <w:cs/>
          <w:lang w:val="ar_AE" w:bidi="ar_AE"/>
        </w:rPr>
        <w:t>تكوين 2:23–25</w:t>
      </w:r>
      <w:r>
        <w:rPr>
          <w:rtl/>
          <w:cs/>
          <w:lang w:val="ar_AE" w:bidi="ar_AE"/>
        </w:rPr>
        <w:t>). تسببت الخطية البشرية الأولى في حدوث اضطراب في جميع العلاقات، أولاً بين الله والبشر، ثم بين الرجل وزوجته، وحتى بين الإنسان والخليقة (</w:t>
      </w:r>
      <w:r>
        <w:rPr>
          <w:rtl/>
          <w:cs/>
          <w:lang w:val="ar_AE" w:bidi="ar_AE"/>
        </w:rPr>
        <w:t>تكوين 3</w:t>
      </w:r>
      <w:r>
        <w:rPr>
          <w:rtl/>
          <w:cs/>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rtl/>
          <w:cs/>
          <w:lang w:val="ar_AE" w:bidi="ar_AE"/>
        </w:rPr>
      </w:r>
      <w:r>
        <w:rPr>
          <w:rtl/>
          <w:cs/>
          <w:lang w:val="ar_AE" w:bidi="ar_AE"/>
        </w:rPr>
        <w:t>في سفر الأمثال، ينصح المعلم الحكيم الشباب غالبًا بتجنب الإغراءات الجنسية خارج إطار الزواج (</w:t>
      </w:r>
      <w:r>
        <w:rPr>
          <w:rtl/>
          <w:cs/>
          <w:lang w:val="ar_AE" w:bidi="ar_AE"/>
        </w:rPr>
        <w:t>الأمثال 2:16–22</w:t>
      </w:r>
      <w:r>
        <w:rPr>
          <w:rtl/>
          <w:cs/>
          <w:lang w:val="ar_AE" w:bidi="ar_AE"/>
        </w:rPr>
        <w:t xml:space="preserve">؛ </w:t>
      </w:r>
      <w:r>
        <w:rPr>
          <w:rtl/>
          <w:cs/>
          <w:lang w:val="ar_AE" w:bidi="ar_AE"/>
        </w:rPr>
        <w:t>5:1–23</w:t>
      </w:r>
      <w:r>
        <w:rPr>
          <w:rtl/>
          <w:cs/>
          <w:lang w:val="ar_AE" w:bidi="ar_AE"/>
        </w:rPr>
        <w:t xml:space="preserve">؛ </w:t>
      </w:r>
      <w:r>
        <w:rPr>
          <w:rtl/>
          <w:cs/>
          <w:lang w:val="ar_AE" w:bidi="ar_AE"/>
        </w:rPr>
        <w:t>6:20–7:27</w:t>
      </w:r>
      <w:r>
        <w:rPr>
          <w:rtl/>
          <w:cs/>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r>
        <w:rPr>
          <w:rtl/>
          <w:cs/>
          <w:lang w:val="ar_AE" w:bidi="ar_AE"/>
        </w:rPr>
        <w:t>5:15–20</w:t>
      </w:r>
      <w:r>
        <w:rPr>
          <w:rtl/>
          <w:cs/>
          <w:lang w:val="ar_AE" w:bidi="ar_AE"/>
        </w:rPr>
        <w:t>).</w:t>
      </w:r>
    </w:p>
    <w:p>
      <w:pPr>
        <w:bidi/>
      </w:pPr>
      <w:r>
        <w:rPr>
          <w:rtl/>
          <w:cs/>
          <w:lang w:val="ar_AE" w:bidi="ar_AE"/>
        </w:rPr>
      </w:r>
      <w:r>
        <w:rPr>
          <w:rtl/>
          <w:cs/>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rtl/>
          <w:cs/>
          <w:lang w:val="ar_AE" w:bidi="ar_AE"/>
        </w:rPr>
      </w:r>
      <w:r>
        <w:rPr>
          <w:rtl/>
          <w:cs/>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r>
        <w:rPr>
          <w:rtl/>
          <w:cs/>
          <w:lang w:val="ar_AE" w:bidi="ar_AE"/>
        </w:rPr>
        <w:t>تكوين 2:24</w:t>
      </w:r>
      <w:r>
        <w:rPr>
          <w:rtl/>
          <w:cs/>
          <w:lang w:val="ar_AE" w:bidi="ar_AE"/>
        </w:rPr>
        <w:t>، قال: "</w:t>
      </w:r>
      <w:r>
        <w:rPr>
          <w:rtl/>
          <w:cs/>
          <w:lang w:val="ar_AE" w:bidi="ar_AE"/>
        </w:rPr>
        <w:t>إِذًا لَيْسَا بَعْدُ ٱثْنَيْنِ بَلْ جَسَدٌ وَاحِدٌ. فَٱلَّذِي جَمَعَهُ ٱللهُ لَا يُفَرِّقُهُ إِنْسَانٌ</w:t>
      </w:r>
      <w:r>
        <w:rPr>
          <w:rtl/>
          <w:cs/>
          <w:lang w:val="ar_AE" w:bidi="ar_AE"/>
        </w:rPr>
        <w:t>" (</w:t>
      </w:r>
      <w:r>
        <w:rPr>
          <w:rtl/>
          <w:cs/>
          <w:lang w:val="ar_AE" w:bidi="ar_AE"/>
        </w:rPr>
        <w:t>متّى 19:3–6</w:t>
      </w:r>
      <w:r>
        <w:rPr>
          <w:rtl/>
          <w:cs/>
          <w:lang w:val="ar_AE" w:bidi="ar_AE"/>
        </w:rPr>
        <w:t>). ويتحدث الرسول بولس عن أهمية الحفاظ على العلاقة الجسدية بين الزوجين لتجنّب الإغراء من إبليس (</w:t>
      </w:r>
      <w:r>
        <w:rPr>
          <w:rtl/>
          <w:cs/>
          <w:lang w:val="ar_AE" w:bidi="ar_AE"/>
        </w:rPr>
        <w:t>1 كورنثوس 7:3–5</w:t>
      </w:r>
      <w:r>
        <w:rPr>
          <w:rtl/>
          <w:cs/>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r>
        <w:rPr>
          <w:rtl/>
          <w:cs/>
          <w:lang w:val="ar_AE" w:bidi="ar_AE"/>
        </w:rPr>
        <w:t>عبرانيين 13:4</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٢:١٨–٢٥</w:t>
      </w:r>
      <w:r>
        <w:rPr>
          <w:rtl/>
          <w:cs/>
          <w:lang w:val="ar_AE" w:bidi="ar_AE"/>
        </w:rPr>
        <w:t xml:space="preserve">; </w:t>
      </w:r>
      <w:r>
        <w:rPr>
          <w:rtl/>
          <w:cs/>
          <w:lang w:val="ar_AE" w:bidi="ar_AE"/>
        </w:rPr>
        <w:t>أمثال ٢:١٦–٢٢</w:t>
      </w:r>
      <w:r>
        <w:rPr>
          <w:rtl/>
          <w:cs/>
          <w:lang w:val="ar_AE" w:bidi="ar_AE"/>
        </w:rPr>
        <w:t xml:space="preserve">; </w:t>
      </w:r>
      <w:r>
        <w:rPr>
          <w:rtl/>
          <w:cs/>
          <w:lang w:val="ar_AE" w:bidi="ar_AE"/>
        </w:rPr>
        <w:t>٥:١٥–٢٠</w:t>
      </w:r>
      <w:r>
        <w:rPr>
          <w:rtl/>
          <w:cs/>
          <w:lang w:val="ar_AE" w:bidi="ar_AE"/>
        </w:rPr>
        <w:t xml:space="preserve">; </w:t>
      </w:r>
      <w:r>
        <w:rPr>
          <w:rtl/>
          <w:cs/>
          <w:lang w:val="ar_AE" w:bidi="ar_AE"/>
        </w:rPr>
        <w:t>٦:٢٠–٣٥</w:t>
      </w:r>
      <w:r>
        <w:rPr>
          <w:rtl/>
          <w:cs/>
          <w:lang w:val="ar_AE" w:bidi="ar_AE"/>
        </w:rPr>
        <w:t xml:space="preserve">; </w:t>
      </w:r>
      <w:r>
        <w:rPr>
          <w:rtl/>
          <w:cs/>
          <w:lang w:val="ar_AE" w:bidi="ar_AE"/>
        </w:rPr>
        <w:t>٧:١–٢٧</w:t>
      </w:r>
      <w:r>
        <w:rPr>
          <w:rtl/>
          <w:cs/>
          <w:lang w:val="ar_AE" w:bidi="ar_AE"/>
        </w:rPr>
        <w:t xml:space="preserve">; </w:t>
      </w:r>
      <w:r>
        <w:rPr>
          <w:rtl/>
          <w:cs/>
          <w:lang w:val="ar_AE" w:bidi="ar_AE"/>
        </w:rPr>
        <w:t>إرميا ٥:٧–١١</w:t>
      </w:r>
      <w:r>
        <w:rPr>
          <w:rtl/>
          <w:cs/>
          <w:lang w:val="ar_AE" w:bidi="ar_AE"/>
        </w:rPr>
        <w:t xml:space="preserve">; </w:t>
      </w:r>
      <w:r>
        <w:rPr>
          <w:rtl/>
          <w:cs/>
          <w:lang w:val="ar_AE" w:bidi="ar_AE"/>
        </w:rPr>
        <w:t>هوشع ٢:٢٠</w:t>
      </w:r>
      <w:r>
        <w:rPr>
          <w:rtl/>
          <w:cs/>
          <w:lang w:val="ar_AE" w:bidi="ar_AE"/>
        </w:rPr>
        <w:t xml:space="preserve">; </w:t>
      </w:r>
      <w:r>
        <w:rPr>
          <w:rtl/>
          <w:cs/>
          <w:lang w:val="ar_AE" w:bidi="ar_AE"/>
        </w:rPr>
        <w:t>ملاخي ٢:١٤–١٦</w:t>
      </w:r>
      <w:r>
        <w:rPr>
          <w:rtl/>
          <w:cs/>
          <w:lang w:val="ar_AE" w:bidi="ar_AE"/>
        </w:rPr>
        <w:t xml:space="preserve">; </w:t>
      </w:r>
      <w:r>
        <w:rPr>
          <w:rtl/>
          <w:cs/>
          <w:lang w:val="ar_AE" w:bidi="ar_AE"/>
        </w:rPr>
        <w:t>متى ١٩:٤–٦</w:t>
      </w:r>
      <w:r>
        <w:rPr>
          <w:rtl/>
          <w:cs/>
          <w:lang w:val="ar_AE" w:bidi="ar_AE"/>
        </w:rPr>
        <w:t xml:space="preserve">; </w:t>
      </w:r>
      <w:r>
        <w:rPr>
          <w:rtl/>
          <w:cs/>
          <w:lang w:val="ar_AE" w:bidi="ar_AE"/>
        </w:rPr>
        <w:t>٢٢:٣٠</w:t>
      </w:r>
      <w:r>
        <w:rPr>
          <w:rtl/>
          <w:cs/>
          <w:lang w:val="ar_AE" w:bidi="ar_AE"/>
        </w:rPr>
        <w:t xml:space="preserve">; </w:t>
      </w:r>
      <w:r>
        <w:rPr>
          <w:rtl/>
          <w:cs/>
          <w:lang w:val="ar_AE" w:bidi="ar_AE"/>
        </w:rPr>
        <w:t>١ كورنثوس ٦:١٥–٢٠</w:t>
      </w:r>
      <w:r>
        <w:rPr>
          <w:rtl/>
          <w:cs/>
          <w:lang w:val="ar_AE" w:bidi="ar_AE"/>
        </w:rPr>
        <w:t xml:space="preserve">; </w:t>
      </w:r>
      <w:r>
        <w:rPr>
          <w:rtl/>
          <w:cs/>
          <w:lang w:val="ar_AE" w:bidi="ar_AE"/>
        </w:rPr>
        <w:t>عبرانيين ١٣:٤</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