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hyperlink r:id="rId13">
        <w:r>
          <w:rPr>
            <w:lang w:val="pt_PT" w:bidi="pt_PT"/>
          </w:rPr>
          <w:rPr>
            <w:color w:val="0000EE"/>
            <w:u w:val="single"/>
          </w:rPr>
          <w:t>João 14.1–3</w:t>
        </w:r>
      </w:hyperlink>
      <w:r>
        <w:rPr>
          <w:lang w:val="pt_PT" w:bidi="pt_PT"/>
        </w:rPr>
        <w:t>). Logo após Jesus ascender ao céu, os apóstolos receberam a mensagem de que ele voltaria um dia (</w:t>
      </w:r>
      <w:hyperlink r:id="rId14">
        <w:r>
          <w:rPr>
            <w:lang w:val="pt_PT" w:bidi="pt_PT"/>
          </w:rPr>
          <w:rPr>
            <w:color w:val="0000EE"/>
            <w:u w:val="single"/>
          </w:rPr>
          <w:t>Atos 1.9–11</w:t>
        </w:r>
      </w:hyperlink>
      <w:r>
        <w:rPr>
          <w:lang w:val="pt_PT" w:bidi="pt_PT"/>
        </w:rPr>
        <w:t>). Nas visões descritas no livro de Apocalipse, João ouve Jesus prometer retornar novamente (</w:t>
      </w:r>
      <w:hyperlink r:id="rId15">
        <w:r>
          <w:rPr>
            <w:lang w:val="pt_PT" w:bidi="pt_PT"/>
          </w:rPr>
          <w:rPr>
            <w:color w:val="0000EE"/>
            <w:u w:val="single"/>
          </w:rPr>
          <w:t>Apocalipse 22.6–20</w:t>
        </w:r>
      </w:hyperlink>
      <w:r>
        <w:rPr>
          <w:lang w:val="pt_PT" w:bidi="pt_PT"/>
        </w:rPr>
        <w:t>).</w:t>
      </w:r>
    </w:p>
    <w:p>
      <w:pPr/>
      <w:r>
        <w:rPr>
          <w:lang w:val="pt_PT" w:bidi="pt_PT"/>
        </w:rPr>
      </w:r>
      <w:r>
        <w:rPr>
          <w:lang w:val="pt_PT" w:bidi="pt_PT"/>
        </w:rPr>
        <w:t>A conclusão final de todas as coisas, "o Dia do Senhor" (</w:t>
      </w:r>
      <w:hyperlink r:id="rId16">
        <w:r>
          <w:rPr>
            <w:lang w:val="pt_PT" w:bidi="pt_PT"/>
          </w:rPr>
          <w:rPr>
            <w:color w:val="0000EE"/>
            <w:u w:val="single"/>
          </w:rPr>
          <w:t>2Ts 2.2</w:t>
        </w:r>
      </w:hyperlink>
      <w:r>
        <w:rPr>
          <w:lang w:val="pt_PT" w:bidi="pt_PT"/>
        </w:rPr>
        <w:t>), virá como uma surpresa, "como um ladrão, na calada da noite" (</w:t>
      </w:r>
      <w:hyperlink r:id="rId17">
        <w:r>
          <w:rPr>
            <w:lang w:val="pt_PT" w:bidi="pt_PT"/>
          </w:rPr>
          <w:rPr>
            <w:color w:val="0000EE"/>
            <w:u w:val="single"/>
          </w:rPr>
          <w:t>1 Tesslonicenses 5.2</w:t>
        </w:r>
      </w:hyperlink>
      <w:r>
        <w:rPr>
          <w:lang w:val="pt_PT" w:bidi="pt_PT"/>
        </w:rPr>
        <w:t>). Jesus disse que "somente o Pai" sabe quando esse dia será (</w:t>
      </w:r>
      <w:hyperlink r:id="rId18">
        <w:r>
          <w:rPr>
            <w:lang w:val="pt_PT" w:bidi="pt_PT"/>
          </w:rPr>
          <w:rPr>
            <w:color w:val="0000EE"/>
            <w:u w:val="single"/>
          </w:rPr>
          <w:t>Mateus 24.36</w:t>
        </w:r>
      </w:hyperlink>
      <w:r>
        <w:rPr>
          <w:lang w:val="pt_PT" w:bidi="pt_PT"/>
        </w:rPr>
        <w:t xml:space="preserve">; </w:t>
      </w:r>
      <w:hyperlink r:id="rId19">
        <w:r>
          <w:rPr>
            <w:lang w:val="pt_PT" w:bidi="pt_PT"/>
          </w:rPr>
          <w:rPr>
            <w:color w:val="0000EE"/>
            <w:u w:val="single"/>
          </w:rPr>
          <w:t>Atos 1.6–7</w:t>
        </w:r>
      </w:hyperlink>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hyperlink r:id="rId20">
        <w:r>
          <w:rPr>
            <w:lang w:val="pt_PT" w:bidi="pt_PT"/>
          </w:rPr>
          <w:rPr>
            <w:color w:val="0000EE"/>
            <w:u w:val="single"/>
          </w:rPr>
          <w:t>2 Tessalonicenses 2.1–12</w:t>
        </w:r>
      </w:hyperlink>
      <w:r>
        <w:rPr>
          <w:lang w:val="pt_PT" w:bidi="pt_PT"/>
        </w:rPr>
        <w:t>). No entanto, ele não se concentra nos detalhes. Em vez disso, ele lembra seu público dessas coisas para refutar ensinamentos falsos e encorajar os cristãos que sofrem pela fé (</w:t>
      </w:r>
      <w:hyperlink r:id="rId21">
        <w:r>
          <w:rPr>
            <w:lang w:val="pt_PT" w:bidi="pt_PT"/>
          </w:rPr>
          <w:rPr>
            <w:color w:val="0000EE"/>
            <w:u w:val="single"/>
          </w:rPr>
          <w:t>2 Tessalonicenses 1.3–10</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hyperlink r:id="rId23">
        <w:r>
          <w:rPr>
            <w:lang w:val="pt_PT" w:bidi="pt_PT"/>
          </w:rPr>
          <w:rPr>
            <w:color w:val="0000EE"/>
            <w:u w:val="single"/>
          </w:rPr>
          <w:t>2 Tessalonicenses 1.7–10</w:t>
        </w:r>
      </w:hyperlink>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hyperlink r:id="rId24">
        <w:r>
          <w:rPr>
            <w:lang w:val="pt_PT" w:bidi="pt_PT"/>
          </w:rPr>
          <w:rPr>
            <w:color w:val="0000EE"/>
            <w:u w:val="single"/>
          </w:rPr>
          <w:t>1 Tessalonicenses 4.13–17</w:t>
        </w:r>
      </w:hyperlink>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hyperlink r:id="rId25">
        <w:r>
          <w:rPr>
            <w:lang w:val="pt_PT" w:bidi="pt_PT"/>
          </w:rPr>
          <w:rPr>
            <w:color w:val="0000EE"/>
            <w:u w:val="single"/>
          </w:rPr>
          <w:t>2 Tessalonicenses 2.13–14</w:t>
        </w:r>
      </w:hyperlink>
      <w:r>
        <w:rPr>
          <w:lang w:val="pt_PT" w:bidi="pt_PT"/>
        </w:rPr>
        <w:t>). Eles podem permanecer firmes agora enquanto olham para o futuro (</w:t>
      </w:r>
      <w:hyperlink r:id="rId26">
        <w:r>
          <w:rPr>
            <w:lang w:val="pt_PT" w:bidi="pt_PT"/>
          </w:rPr>
          <w:rPr>
            <w:color w:val="0000EE"/>
            <w:u w:val="single"/>
          </w:rPr>
          <w:t>2.14–15</w:t>
        </w:r>
      </w:hyperlink>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Mateus 25.1–46</w:t>
        </w:r>
      </w:hyperlink>
      <w:r>
        <w:rPr>
          <w:lang w:val="pt_PT" w:bidi="pt_PT"/>
        </w:rPr>
        <w:t xml:space="preserve">; </w:t>
      </w:r>
      <w:hyperlink r:id="rId19">
        <w:r>
          <w:rPr>
            <w:lang w:val="pt_PT" w:bidi="pt_PT"/>
          </w:rPr>
          <w:rPr>
            <w:color w:val="0000EE"/>
            <w:u w:val="single"/>
          </w:rPr>
          <w:t>Atos 1.6–7</w:t>
        </w:r>
      </w:hyperlink>
      <w:r>
        <w:rPr>
          <w:lang w:val="pt_PT" w:bidi="pt_PT"/>
        </w:rPr>
        <w:t xml:space="preserve">; </w:t>
      </w:r>
      <w:hyperlink r:id="rId28">
        <w:r>
          <w:rPr>
            <w:lang w:val="pt_PT" w:bidi="pt_PT"/>
          </w:rPr>
          <w:rPr>
            <w:color w:val="0000EE"/>
            <w:u w:val="single"/>
          </w:rPr>
          <w:t>1 Tessalonicenses 4.13–5.11</w:t>
        </w:r>
      </w:hyperlink>
      <w:r>
        <w:rPr>
          <w:lang w:val="pt_PT" w:bidi="pt_PT"/>
        </w:rPr>
        <w:t xml:space="preserve">; </w:t>
      </w:r>
      <w:hyperlink r:id="rId23">
        <w:r>
          <w:rPr>
            <w:lang w:val="pt_PT" w:bidi="pt_PT"/>
          </w:rPr>
          <w:rPr>
            <w:color w:val="0000EE"/>
            <w:u w:val="single"/>
          </w:rPr>
          <w:t>2 Tessalonicenses 1.7–10</w:t>
        </w:r>
      </w:hyperlink>
      <w:r>
        <w:rPr>
          <w:lang w:val="pt_PT" w:bidi="pt_PT"/>
        </w:rPr>
        <w:t xml:space="preserve">; </w:t>
      </w:r>
      <w:hyperlink r:id="rId20">
        <w:r>
          <w:rPr>
            <w:lang w:val="pt_PT" w:bidi="pt_PT"/>
          </w:rPr>
          <w:rPr>
            <w:color w:val="0000EE"/>
            <w:u w:val="single"/>
          </w:rPr>
          <w:t>2 Tessalonicenses 2.1–12.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