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ذروة الكتاب المقدس</w:t>
      </w:r>
      <w:r>
        <w:rPr>
          <w:rtl/>
          <w:cs/>
          <w:lang w:val="ar_AE" w:bidi="ar_AE"/>
        </w:rPr>
      </w:r>
    </w:p>
    <w:p>
      <w:pPr>
        <w:bidi/>
      </w:pPr>
      <w:r>
        <w:rPr>
          <w:rtl/>
          <w:cs/>
          <w:lang w:val="ar_AE" w:bidi="ar_AE"/>
        </w:rPr>
      </w:r>
      <w:r>
        <w:rPr>
          <w:rtl/>
          <w:cs/>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rtl/>
          <w:cs/>
          <w:lang w:val="ar_AE" w:bidi="ar_AE"/>
        </w:rPr>
      </w:r>
      <w:r>
        <w:rPr>
          <w:rtl/>
          <w:cs/>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rtl/>
          <w:cs/>
          <w:lang w:val="ar_AE" w:bidi="ar_AE"/>
        </w:rPr>
      </w:r>
      <w:r>
        <w:rPr>
          <w:rtl/>
          <w:cs/>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rtl/>
          <w:cs/>
          <w:lang w:val="ar_AE" w:bidi="ar_AE"/>
        </w:rPr>
        <w:t>يُفَسِّرُ لَهُمَا ٱلْأُمُورَ ٱلْمُخْتَصَّةَ بِهِ فِي جَمِيعِ ٱلْكُتُبِ.</w:t>
      </w:r>
      <w:r>
        <w:rPr>
          <w:rtl/>
          <w:cs/>
          <w:lang w:val="ar_AE" w:bidi="ar_AE"/>
        </w:rPr>
        <w:t>” (</w:t>
      </w:r>
      <w:hyperlink r:id="rId13">
        <w:r>
          <w:rPr>
            <w:rtl/>
            <w:cs/>
            <w:lang w:val="ar_AE" w:bidi="ar_AE"/>
          </w:rPr>
          <w:rPr>
            <w:color w:val="0000EE"/>
            <w:u w:val="single"/>
          </w:rPr>
          <w:t>لوقا 24:27</w:t>
        </w:r>
      </w:hyperlink>
      <w:r>
        <w:rPr>
          <w:rtl/>
          <w:cs/>
          <w:lang w:val="ar_AE" w:bidi="ar_AE"/>
        </w:rPr>
        <w:t>).</w:t>
      </w:r>
    </w:p>
    <w:p>
      <w:pPr>
        <w:bidi/>
      </w:pPr>
      <w:r>
        <w:rPr>
          <w:rtl/>
          <w:cs/>
          <w:lang w:val="ar_AE" w:bidi="ar_AE"/>
        </w:rPr>
      </w:r>
      <w:r>
        <w:rPr>
          <w:rtl/>
          <w:cs/>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rtl/>
          <w:cs/>
          <w:lang w:val="ar_AE" w:bidi="ar_AE"/>
        </w:rPr>
      </w:r>
      <w:r>
        <w:rPr>
          <w:rtl/>
          <w:cs/>
          <w:lang w:val="ar_AE" w:bidi="ar_AE"/>
        </w:rPr>
        <w:t>يسوع هو "الحجر الذي رفضه البنّاؤون" والذي "صار رأس الزاوية"، في بناء هيكل الله الجديد (</w:t>
      </w:r>
      <w:hyperlink r:id="rId14">
        <w:r>
          <w:rPr>
            <w:rtl/>
            <w:cs/>
            <w:lang w:val="ar_AE" w:bidi="ar_AE"/>
          </w:rPr>
          <w:rPr>
            <w:color w:val="0000EE"/>
            <w:u w:val="single"/>
          </w:rPr>
          <w:t>مزمور 118:22</w:t>
        </w:r>
      </w:hyperlink>
      <w:r>
        <w:rPr>
          <w:rtl/>
          <w:cs/>
          <w:lang w:val="ar_AE" w:bidi="ar_AE"/>
        </w:rPr>
        <w:t xml:space="preserve">، مقتبس في </w:t>
      </w:r>
      <w:hyperlink r:id="rId15">
        <w:r>
          <w:rPr>
            <w:rtl/>
            <w:cs/>
            <w:lang w:val="ar_AE" w:bidi="ar_AE"/>
          </w:rPr>
          <w:rPr>
            <w:color w:val="0000EE"/>
            <w:u w:val="single"/>
          </w:rPr>
          <w:t>لوقا 20:17</w:t>
        </w:r>
      </w:hyperlink>
      <w:r>
        <w:rPr>
          <w:rtl/>
          <w:cs/>
          <w:lang w:val="ar_AE" w:bidi="ar_AE"/>
        </w:rPr>
        <w:t>).</w:t>
      </w:r>
    </w:p>
    <w:p>
      <w:pPr>
        <w:pStyle w:val="ListBullet"/>
        <w:bidi/>
        <w:spacing w:line="240" w:lineRule="auto"/>
        <w:ind w:left="720"/>
      </w:pPr>
      <w:r>
        <w:rPr>
          <w:rtl/>
          <w:cs/>
          <w:lang w:val="ar_AE" w:bidi="ar_AE"/>
        </w:rPr>
      </w:r>
      <w:r>
        <w:rPr>
          <w:rtl/>
          <w:cs/>
          <w:lang w:val="ar_AE" w:bidi="ar_AE"/>
        </w:rPr>
        <w:t>هو عبد الرب المتألم، الذي عومِل كما لو كان مجرمًا عاديًا (</w:t>
      </w:r>
      <w:hyperlink r:id="rId16">
        <w:r>
          <w:rPr>
            <w:rtl/>
            <w:cs/>
            <w:lang w:val="ar_AE" w:bidi="ar_AE"/>
          </w:rPr>
          <w:rPr>
            <w:color w:val="0000EE"/>
            <w:u w:val="single"/>
          </w:rPr>
          <w:t>إشعياء 53:12</w:t>
        </w:r>
      </w:hyperlink>
      <w:r>
        <w:rPr>
          <w:rtl/>
          <w:cs/>
          <w:lang w:val="ar_AE" w:bidi="ar_AE"/>
        </w:rPr>
        <w:t xml:space="preserve">، مقتبس في </w:t>
      </w:r>
      <w:hyperlink r:id="rId17">
        <w:r>
          <w:rPr>
            <w:rtl/>
            <w:cs/>
            <w:lang w:val="ar_AE" w:bidi="ar_AE"/>
          </w:rPr>
          <w:rPr>
            <w:color w:val="0000EE"/>
            <w:u w:val="single"/>
          </w:rPr>
          <w:t>لوقا 22:37</w:t>
        </w:r>
      </w:hyperlink>
      <w:r>
        <w:rPr>
          <w:rtl/>
          <w:cs/>
          <w:lang w:val="ar_AE" w:bidi="ar_AE"/>
        </w:rPr>
        <w:t>).</w:t>
      </w:r>
    </w:p>
    <w:p>
      <w:pPr>
        <w:pStyle w:val="ListBullet"/>
        <w:bidi/>
        <w:spacing w:line="240" w:lineRule="auto"/>
        <w:ind w:left="720"/>
      </w:pPr>
      <w:r>
        <w:rPr>
          <w:rtl/>
          <w:cs/>
          <w:lang w:val="ar_AE" w:bidi="ar_AE"/>
        </w:rPr>
      </w:r>
      <w:r>
        <w:rPr>
          <w:rtl/>
          <w:cs/>
          <w:lang w:val="ar_AE" w:bidi="ar_AE"/>
        </w:rPr>
        <w:t>خصومه يسخرون منه ويهينونه ويبصقون عليه (</w:t>
      </w:r>
      <w:hyperlink r:id="rId18">
        <w:r>
          <w:rPr>
            <w:rtl/>
            <w:cs/>
            <w:lang w:val="ar_AE" w:bidi="ar_AE"/>
          </w:rPr>
          <w:rPr>
            <w:color w:val="0000EE"/>
            <w:u w:val="single"/>
          </w:rPr>
          <w:t>إشعياء 50:6</w:t>
        </w:r>
      </w:hyperlink>
      <w:r>
        <w:rPr>
          <w:rtl/>
          <w:cs/>
          <w:lang w:val="ar_AE" w:bidi="ar_AE"/>
        </w:rPr>
        <w:t xml:space="preserve">، كما يُلمَّح إليه في </w:t>
      </w:r>
      <w:hyperlink r:id="rId19">
        <w:r>
          <w:rPr>
            <w:rtl/>
            <w:cs/>
            <w:lang w:val="ar_AE" w:bidi="ar_AE"/>
          </w:rPr>
          <w:rPr>
            <w:color w:val="0000EE"/>
            <w:u w:val="single"/>
          </w:rPr>
          <w:t>لوقا 18:32</w:t>
        </w:r>
      </w:hyperlink>
      <w:r>
        <w:rPr>
          <w:rtl/>
          <w:cs/>
          <w:lang w:val="ar_AE" w:bidi="ar_AE"/>
        </w:rPr>
        <w:t>).</w:t>
      </w:r>
    </w:p>
    <w:p>
      <w:pPr>
        <w:pStyle w:val="ListBullet"/>
        <w:bidi/>
        <w:spacing w:line="240" w:lineRule="auto"/>
        <w:ind w:left="720"/>
      </w:pPr>
      <w:r>
        <w:rPr>
          <w:rtl/>
          <w:cs/>
          <w:lang w:val="ar_AE" w:bidi="ar_AE"/>
        </w:rPr>
      </w:r>
      <w:r>
        <w:rPr>
          <w:rtl/>
          <w:cs/>
          <w:lang w:val="ar_AE" w:bidi="ar_AE"/>
        </w:rPr>
        <w:t>هو الملك الممسوح الذي رفضه القادة وشعب إسرائيل، لكنه أُعلن بريئًا من قبل الله (</w:t>
      </w:r>
      <w:hyperlink r:id="rId20">
        <w:r>
          <w:rPr>
            <w:rtl/>
            <w:cs/>
            <w:lang w:val="ar_AE" w:bidi="ar_AE"/>
          </w:rPr>
          <w:rPr>
            <w:color w:val="0000EE"/>
            <w:u w:val="single"/>
          </w:rPr>
          <w:t>مزمور 2:1–2</w:t>
        </w:r>
      </w:hyperlink>
      <w:r>
        <w:rPr>
          <w:rtl/>
          <w:cs/>
          <w:lang w:val="ar_AE" w:bidi="ar_AE"/>
        </w:rPr>
        <w:t xml:space="preserve">، مُقتبس في </w:t>
      </w:r>
      <w:hyperlink r:id="rId21">
        <w:r>
          <w:rPr>
            <w:rtl/>
            <w:cs/>
            <w:lang w:val="ar_AE" w:bidi="ar_AE"/>
          </w:rPr>
          <w:rPr>
            <w:color w:val="0000EE"/>
            <w:u w:val="single"/>
          </w:rPr>
          <w:t>أعمال الرسل 4:25–28</w:t>
        </w:r>
      </w:hyperlink>
      <w:r>
        <w:rPr>
          <w:rtl/>
          <w:cs/>
          <w:lang w:val="ar_AE" w:bidi="ar_AE"/>
        </w:rPr>
        <w:t>).</w:t>
      </w:r>
    </w:p>
    <w:p>
      <w:pPr>
        <w:pStyle w:val="ListBullet"/>
        <w:bidi/>
        <w:spacing w:line="240" w:lineRule="auto"/>
        <w:ind w:left="720"/>
      </w:pPr>
      <w:r>
        <w:rPr>
          <w:rtl/>
          <w:cs/>
          <w:lang w:val="ar_AE" w:bidi="ar_AE"/>
        </w:rPr>
      </w:r>
      <w:r>
        <w:rPr>
          <w:rtl/>
          <w:cs/>
          <w:lang w:val="ar_AE" w:bidi="ar_AE"/>
        </w:rPr>
        <w:t>هو من نسل الملك داود الذي لن يتركه الله في القبر (</w:t>
      </w:r>
      <w:hyperlink r:id="rId22">
        <w:r>
          <w:rPr>
            <w:rtl/>
            <w:cs/>
            <w:lang w:val="ar_AE" w:bidi="ar_AE"/>
          </w:rPr>
          <w:rPr>
            <w:color w:val="0000EE"/>
            <w:u w:val="single"/>
          </w:rPr>
          <w:t>مزمور 16:8–11</w:t>
        </w:r>
      </w:hyperlink>
      <w:r>
        <w:rPr>
          <w:rtl/>
          <w:cs/>
          <w:lang w:val="ar_AE" w:bidi="ar_AE"/>
        </w:rPr>
        <w:t xml:space="preserve">، كما ورد في </w:t>
      </w:r>
      <w:hyperlink r:id="rId23">
        <w:r>
          <w:rPr>
            <w:rtl/>
            <w:cs/>
            <w:lang w:val="ar_AE" w:bidi="ar_AE"/>
          </w:rPr>
          <w:rPr>
            <w:color w:val="0000EE"/>
            <w:u w:val="single"/>
          </w:rPr>
          <w:t>أعمال الرسل 2:25–28</w:t>
        </w:r>
      </w:hyperlink>
      <w:r>
        <w:rPr>
          <w:rtl/>
          <w:cs/>
          <w:lang w:val="ar_AE" w:bidi="ar_AE"/>
        </w:rPr>
        <w:t>).</w:t>
      </w:r>
    </w:p>
    <w:p>
      <w:pPr>
        <w:bidi/>
      </w:pPr>
      <w:r>
        <w:rPr>
          <w:rtl/>
          <w:cs/>
          <w:lang w:val="ar_AE" w:bidi="ar_AE"/>
        </w:rPr>
      </w:r>
      <w:r>
        <w:rPr>
          <w:rtl/>
          <w:cs/>
          <w:lang w:val="ar_AE" w:bidi="ar_AE"/>
        </w:rPr>
        <w:t xml:space="preserve">وفقًا لما ورد في </w:t>
      </w:r>
      <w:hyperlink r:id="rId13">
        <w:r>
          <w:rPr>
            <w:rtl/>
            <w:cs/>
            <w:lang w:val="ar_AE" w:bidi="ar_AE"/>
          </w:rPr>
          <w:rPr>
            <w:color w:val="0000EE"/>
            <w:u w:val="single"/>
          </w:rPr>
          <w:t>لوقا 24:27</w:t>
        </w:r>
      </w:hyperlink>
      <w:r>
        <w:rPr>
          <w:rtl/>
          <w:cs/>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rtl/>
          <w:cs/>
          <w:lang w:val="ar_AE" w:bidi="ar_AE"/>
        </w:rPr>
        <w:t>غَايَةَ ٱلنَّامُوسِ</w:t>
      </w:r>
      <w:r>
        <w:rPr>
          <w:rtl/>
          <w:cs/>
          <w:lang w:val="ar_AE" w:bidi="ar_AE"/>
        </w:rPr>
        <w:t>" (</w:t>
      </w:r>
      <w:hyperlink r:id="rId24">
        <w:r>
          <w:rPr>
            <w:rtl/>
            <w:cs/>
            <w:lang w:val="ar_AE" w:bidi="ar_AE"/>
          </w:rPr>
          <w:rPr>
            <w:color w:val="0000EE"/>
            <w:u w:val="single"/>
          </w:rPr>
          <w:t>رومية 10:4</w:t>
        </w:r>
      </w:hyperlink>
      <w:r>
        <w:rPr>
          <w:rtl/>
          <w:cs/>
          <w:lang w:val="ar_AE" w:bidi="ar_AE"/>
        </w:rPr>
        <w:t>). جميع أسفار العهد القديم، بما في ذلك ناموس موسى والأنبياء والمزامير، تظهر قصة الله للخلاص (</w:t>
      </w:r>
      <w:hyperlink r:id="rId25">
        <w:r>
          <w:rPr>
            <w:rtl/>
            <w:cs/>
            <w:lang w:val="ar_AE" w:bidi="ar_AE"/>
          </w:rPr>
          <w:rPr>
            <w:color w:val="0000EE"/>
            <w:u w:val="single"/>
          </w:rPr>
          <w:t>لوقا 24:44</w:t>
        </w:r>
      </w:hyperlink>
      <w:r>
        <w:rPr>
          <w:rtl/>
          <w:cs/>
          <w:lang w:val="ar_AE" w:bidi="ar_AE"/>
        </w:rPr>
        <w:t>). وتبلغ هذه القصة غايتها في حياة يسوع وموته وقيامته.</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hyperlink r:id="rId26">
        <w:r>
          <w:rPr>
            <w:rtl/>
            <w:cs/>
            <w:lang w:val="ar_AE" w:bidi="ar_AE"/>
          </w:rPr>
          <w:rPr>
            <w:color w:val="0000EE"/>
            <w:u w:val="single"/>
          </w:rPr>
          <w:t>لوقا ٢٤: ١٣–٤٩</w:t>
        </w:r>
      </w:hyperlink>
      <w:r>
        <w:rPr>
          <w:rtl/>
          <w:cs/>
          <w:lang w:val="ar_AE" w:bidi="ar_AE"/>
        </w:rPr>
        <w:t xml:space="preserve">; </w:t>
      </w:r>
      <w:hyperlink r:id="rId24">
        <w:r>
          <w:rPr>
            <w:rtl/>
            <w:cs/>
            <w:lang w:val="ar_AE" w:bidi="ar_AE"/>
          </w:rPr>
          <w:rPr>
            <w:color w:val="0000EE"/>
            <w:u w:val="single"/>
          </w:rPr>
          <w:t>رومية ١٠: ٤</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27" TargetMode="External"/><Relationship Id="rId14" Type="http://schemas.openxmlformats.org/officeDocument/2006/relationships/hyperlink" Target="https://ref.ly/Ps118:22" TargetMode="External"/><Relationship Id="rId15" Type="http://schemas.openxmlformats.org/officeDocument/2006/relationships/hyperlink" Target="https://ref.ly/Luke20:17" TargetMode="External"/><Relationship Id="rId16" Type="http://schemas.openxmlformats.org/officeDocument/2006/relationships/hyperlink" Target="https://ref.ly/Isa53:12" TargetMode="External"/><Relationship Id="rId17" Type="http://schemas.openxmlformats.org/officeDocument/2006/relationships/hyperlink" Target="https://ref.ly/Luke22:37" TargetMode="External"/><Relationship Id="rId18" Type="http://schemas.openxmlformats.org/officeDocument/2006/relationships/hyperlink" Target="https://ref.ly/Isa50:6" TargetMode="External"/><Relationship Id="rId19" Type="http://schemas.openxmlformats.org/officeDocument/2006/relationships/hyperlink" Target="https://ref.ly/Luke18:32" TargetMode="External"/><Relationship Id="rId20" Type="http://schemas.openxmlformats.org/officeDocument/2006/relationships/hyperlink" Target="https://ref.ly/Ps2:1-Ps2:2" TargetMode="External"/><Relationship Id="rId21" Type="http://schemas.openxmlformats.org/officeDocument/2006/relationships/hyperlink" Target="https://ref.ly/Acts4:25-Acts4:28" TargetMode="External"/><Relationship Id="rId22" Type="http://schemas.openxmlformats.org/officeDocument/2006/relationships/hyperlink" Target="https://ref.ly/Ps16:8-Ps16:11" TargetMode="External"/><Relationship Id="rId23" Type="http://schemas.openxmlformats.org/officeDocument/2006/relationships/hyperlink" Target="https://ref.ly/Acts2:25-Acts2:28" TargetMode="External"/><Relationship Id="rId24" Type="http://schemas.openxmlformats.org/officeDocument/2006/relationships/hyperlink" Target="https://ref.ly/Rom10:4" TargetMode="External"/><Relationship Id="rId25" Type="http://schemas.openxmlformats.org/officeDocument/2006/relationships/hyperlink" Target="https://ref.ly/Luke24:44" TargetMode="External"/><Relationship Id="rId26"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