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hyperlink r:id="rId13">
        <w:r>
          <w:rPr>
            <w:lang w:val="fr_FR" w:bidi="fr_FR"/>
          </w:rPr>
          <w:rPr>
            <w:color w:val="0000EE"/>
            <w:u w:val="single"/>
          </w:rPr>
          <w:t>Mt 8.8–10</w:t>
        </w:r>
      </w:hyperlink>
      <w:r>
        <w:rPr>
          <w:lang w:val="fr_FR" w:bidi="fr_FR"/>
        </w:rPr>
        <w:t xml:space="preserve"> ; </w:t>
      </w:r>
      <w:hyperlink r:id="rId14">
        <w:r>
          <w:rPr>
            <w:lang w:val="fr_FR" w:bidi="fr_FR"/>
          </w:rPr>
          <w:rPr>
            <w:color w:val="0000EE"/>
            <w:u w:val="single"/>
          </w:rPr>
          <w:t>Mc 11.22</w:t>
        </w:r>
      </w:hyperlink>
      <w:r>
        <w:rPr>
          <w:lang w:val="fr_FR" w:bidi="fr_FR"/>
        </w:rPr>
        <w:t xml:space="preserve"> ; </w:t>
      </w:r>
      <w:hyperlink r:id="rId15">
        <w:r>
          <w:rPr>
            <w:lang w:val="fr_FR" w:bidi="fr_FR"/>
          </w:rPr>
          <w:rPr>
            <w:color w:val="0000EE"/>
            <w:u w:val="single"/>
          </w:rPr>
          <w:t>Ac 20.21</w:t>
        </w:r>
      </w:hyperlink>
      <w:r>
        <w:rPr>
          <w:lang w:val="fr_FR" w:bidi="fr_FR"/>
        </w:rPr>
        <w:t xml:space="preserve"> ; </w:t>
      </w:r>
      <w:hyperlink r:id="rId16">
        <w:r>
          <w:rPr>
            <w:lang w:val="fr_FR" w:bidi="fr_FR"/>
          </w:rPr>
          <w:rPr>
            <w:color w:val="0000EE"/>
            <w:u w:val="single"/>
          </w:rPr>
          <w:t>Rm 1.17</w:t>
        </w:r>
      </w:hyperlink>
      <w:r>
        <w:rPr>
          <w:lang w:val="fr_FR" w:bidi="fr_FR"/>
        </w:rPr>
        <w:t xml:space="preserve"> ; </w:t>
      </w:r>
      <w:hyperlink r:id="rId17">
        <w:r>
          <w:rPr>
            <w:lang w:val="fr_FR" w:bidi="fr_FR"/>
          </w:rPr>
          <w:rPr>
            <w:color w:val="0000EE"/>
            <w:u w:val="single"/>
          </w:rPr>
          <w:t>3.27–31</w:t>
        </w:r>
      </w:hyperlink>
      <w:r>
        <w:rPr>
          <w:lang w:val="fr_FR" w:bidi="fr_FR"/>
        </w:rPr>
        <w:t xml:space="preserve"> ; </w:t>
      </w:r>
      <w:hyperlink r:id="rId18">
        <w:r>
          <w:rPr>
            <w:lang w:val="fr_FR" w:bidi="fr_FR"/>
          </w:rPr>
          <w:rPr>
            <w:color w:val="0000EE"/>
            <w:u w:val="single"/>
          </w:rPr>
          <w:t>4.3–5</w:t>
        </w:r>
      </w:hyperlink>
      <w:r>
        <w:rPr>
          <w:lang w:val="fr_FR" w:bidi="fr_FR"/>
        </w:rPr>
        <w:t xml:space="preserve"> ; </w:t>
      </w:r>
      <w:hyperlink r:id="rId19">
        <w:r>
          <w:rPr>
            <w:lang w:val="fr_FR" w:bidi="fr_FR"/>
          </w:rPr>
          <w:rPr>
            <w:color w:val="0000EE"/>
            <w:u w:val="single"/>
          </w:rPr>
          <w:t>Hé 11.1–39</w:t>
        </w:r>
      </w:hyperlink>
      <w:r>
        <w:rPr>
          <w:lang w:val="fr_FR" w:bidi="fr_FR"/>
        </w:rPr>
        <w:t xml:space="preserve"> ; </w:t>
      </w:r>
      <w:hyperlink r:id="rId20">
        <w:r>
          <w:rPr>
            <w:lang w:val="fr_FR" w:bidi="fr_FR"/>
          </w:rPr>
          <w:rPr>
            <w:color w:val="0000EE"/>
            <w:u w:val="single"/>
          </w:rPr>
          <w:t>Jc 2.14–24</w:t>
        </w:r>
      </w:hyperlink>
      <w:r>
        <w:rPr>
          <w:lang w:val="fr_FR" w:bidi="fr_FR"/>
        </w:rPr>
        <w:t xml:space="preserve"> ; </w:t>
      </w:r>
      <w:hyperlink r:id="rId21">
        <w:r>
          <w:rPr>
            <w:lang w:val="fr_FR" w:bidi="fr_FR"/>
          </w:rPr>
          <w:rPr>
            <w:color w:val="0000EE"/>
            <w:u w:val="single"/>
          </w:rPr>
          <w:t>1P 1.5–7</w:t>
        </w:r>
      </w:hyperlink>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hyperlink r:id="rId22">
        <w:r>
          <w:rPr>
            <w:lang w:val="fr_FR" w:bidi="fr_FR"/>
          </w:rPr>
          <w:rPr>
            <w:color w:val="0000EE"/>
            <w:u w:val="single"/>
          </w:rPr>
          <w:t>Jn 6.29</w:t>
        </w:r>
      </w:hyperlink>
      <w:r>
        <w:rPr>
          <w:lang w:val="fr_FR" w:bidi="fr_FR"/>
        </w:rPr>
        <w:t>). Nous démontrons notre foi en suivant les enseignements de Jésus, en l'aimant et en obéissant à ses commandements (</w:t>
      </w:r>
      <w:hyperlink r:id="rId23">
        <w:r>
          <w:rPr>
            <w:lang w:val="fr_FR" w:bidi="fr_FR"/>
          </w:rPr>
          <w:rPr>
            <w:color w:val="0000EE"/>
            <w:u w:val="single"/>
          </w:rPr>
          <w:t>Jn 8.31</w:t>
        </w:r>
      </w:hyperlink>
      <w:r>
        <w:rPr>
          <w:lang w:val="fr_FR" w:bidi="fr_FR"/>
        </w:rPr>
        <w:t xml:space="preserve"> ; </w:t>
      </w:r>
      <w:hyperlink r:id="rId24">
        <w:r>
          <w:rPr>
            <w:lang w:val="fr_FR" w:bidi="fr_FR"/>
          </w:rPr>
          <w:rPr>
            <w:color w:val="0000EE"/>
            <w:u w:val="single"/>
          </w:rPr>
          <w:t>15.1–17</w:t>
        </w:r>
      </w:hyperlink>
      <w:r>
        <w:rPr>
          <w:lang w:val="fr_FR" w:bidi="fr_FR"/>
        </w:rPr>
        <w:t xml:space="preserve"> ; voir </w:t>
      </w:r>
      <w:hyperlink r:id="rId25">
        <w:r>
          <w:rPr>
            <w:lang w:val="fr_FR" w:bidi="fr_FR"/>
          </w:rPr>
          <w:rPr>
            <w:color w:val="0000EE"/>
            <w:u w:val="single"/>
          </w:rPr>
          <w:t>1Jn 5.10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6">
        <w:r>
          <w:rPr>
            <w:lang w:val="fr_FR" w:bidi="fr_FR"/>
          </w:rPr>
          <w:rPr>
            <w:color w:val="0000EE"/>
            <w:u w:val="single"/>
          </w:rPr>
          <w:t>Genèse 15.6</w:t>
        </w:r>
      </w:hyperlink>
      <w:r>
        <w:rPr>
          <w:lang w:val="fr_FR" w:bidi="fr_FR"/>
        </w:rPr>
        <w:t xml:space="preserve"> ; </w:t>
      </w:r>
      <w:hyperlink r:id="rId27">
        <w:r>
          <w:rPr>
            <w:lang w:val="fr_FR" w:bidi="fr_FR"/>
          </w:rPr>
          <w:rPr>
            <w:color w:val="0000EE"/>
            <w:u w:val="single"/>
          </w:rPr>
          <w:t>Ésaïe 28.16</w:t>
        </w:r>
      </w:hyperlink>
      <w:r>
        <w:rPr>
          <w:lang w:val="fr_FR" w:bidi="fr_FR"/>
        </w:rPr>
        <w:t xml:space="preserve"> ; </w:t>
      </w:r>
      <w:hyperlink r:id="rId28">
        <w:r>
          <w:rPr>
            <w:lang w:val="fr_FR" w:bidi="fr_FR"/>
          </w:rPr>
          <w:rPr>
            <w:color w:val="0000EE"/>
            <w:u w:val="single"/>
          </w:rPr>
          <w:t>Marc 1.15</w:t>
        </w:r>
      </w:hyperlink>
      <w:r>
        <w:rPr>
          <w:lang w:val="fr_FR" w:bidi="fr_FR"/>
        </w:rPr>
        <w:t xml:space="preserve"> ; </w:t>
      </w:r>
      <w:hyperlink r:id="rId29">
        <w:r>
          <w:rPr>
            <w:lang w:val="fr_FR" w:bidi="fr_FR"/>
          </w:rPr>
          <w:rPr>
            <w:color w:val="0000EE"/>
            <w:u w:val="single"/>
          </w:rPr>
          <w:t>Marc 9.23–24</w:t>
        </w:r>
      </w:hyperlink>
      <w:r>
        <w:rPr>
          <w:lang w:val="fr_FR" w:bidi="fr_FR"/>
        </w:rPr>
        <w:t xml:space="preserve"> ; </w:t>
      </w:r>
      <w:hyperlink r:id="rId30">
        <w:r>
          <w:rPr>
            <w:lang w:val="fr_FR" w:bidi="fr_FR"/>
          </w:rPr>
          <w:rPr>
            <w:color w:val="0000EE"/>
            <w:u w:val="single"/>
          </w:rPr>
          <w:t>Jean 1.12–13</w:t>
        </w:r>
      </w:hyperlink>
      <w:r>
        <w:rPr>
          <w:lang w:val="fr_FR" w:bidi="fr_FR"/>
        </w:rPr>
        <w:t xml:space="preserve"> ; </w:t>
      </w:r>
      <w:hyperlink r:id="rId31">
        <w:r>
          <w:rPr>
            <w:lang w:val="fr_FR" w:bidi="fr_FR"/>
          </w:rPr>
          <w:rPr>
            <w:color w:val="0000EE"/>
            <w:u w:val="single"/>
          </w:rPr>
          <w:t>3.10–18</w:t>
        </w:r>
      </w:hyperlink>
      <w:r>
        <w:rPr>
          <w:lang w:val="fr_FR" w:bidi="fr_FR"/>
        </w:rPr>
        <w:t xml:space="preserve"> ; </w:t>
      </w:r>
      <w:hyperlink r:id="rId32">
        <w:r>
          <w:rPr>
            <w:lang w:val="fr_FR" w:bidi="fr_FR"/>
          </w:rPr>
          <w:rPr>
            <w:color w:val="0000EE"/>
            <w:u w:val="single"/>
          </w:rPr>
          <w:t>5.24</w:t>
        </w:r>
      </w:hyperlink>
      <w:r>
        <w:rPr>
          <w:lang w:val="fr_FR" w:bidi="fr_FR"/>
        </w:rPr>
        <w:t xml:space="preserve"> ; </w:t>
      </w:r>
      <w:hyperlink r:id="rId33">
        <w:r>
          <w:rPr>
            <w:lang w:val="fr_FR" w:bidi="fr_FR"/>
          </w:rPr>
          <w:rPr>
            <w:color w:val="0000EE"/>
            <w:u w:val="single"/>
          </w:rPr>
          <w:t>6.35–36</w:t>
        </w:r>
      </w:hyperlink>
      <w:r>
        <w:rPr>
          <w:lang w:val="fr_FR" w:bidi="fr_FR"/>
        </w:rPr>
        <w:t xml:space="preserve"> ; </w:t>
      </w:r>
      <w:hyperlink r:id="rId34">
        <w:r>
          <w:rPr>
            <w:lang w:val="fr_FR" w:bidi="fr_FR"/>
          </w:rPr>
          <w:rPr>
            <w:color w:val="0000EE"/>
            <w:u w:val="single"/>
          </w:rPr>
          <w:t>7.38</w:t>
        </w:r>
      </w:hyperlink>
      <w:r>
        <w:rPr>
          <w:lang w:val="fr_FR" w:bidi="fr_FR"/>
        </w:rPr>
        <w:t xml:space="preserve"> ; </w:t>
      </w:r>
      <w:hyperlink r:id="rId35">
        <w:r>
          <w:rPr>
            <w:lang w:val="fr_FR" w:bidi="fr_FR"/>
          </w:rPr>
          <w:rPr>
            <w:color w:val="0000EE"/>
            <w:u w:val="single"/>
          </w:rPr>
          <w:t>9.35–38</w:t>
        </w:r>
      </w:hyperlink>
      <w:r>
        <w:rPr>
          <w:lang w:val="fr_FR" w:bidi="fr_FR"/>
        </w:rPr>
        <w:t xml:space="preserve"> ; </w:t>
      </w:r>
      <w:hyperlink r:id="rId36">
        <w:r>
          <w:rPr>
            <w:lang w:val="fr_FR" w:bidi="fr_FR"/>
          </w:rPr>
          <w:rPr>
            <w:color w:val="0000EE"/>
            <w:u w:val="single"/>
          </w:rPr>
          <w:t>11.25–27</w:t>
        </w:r>
      </w:hyperlink>
      <w:r>
        <w:rPr>
          <w:lang w:val="fr_FR" w:bidi="fr_FR"/>
        </w:rPr>
        <w:t xml:space="preserve"> ; </w:t>
      </w:r>
      <w:hyperlink r:id="rId37">
        <w:r>
          <w:rPr>
            <w:lang w:val="fr_FR" w:bidi="fr_FR"/>
          </w:rPr>
          <w:rPr>
            <w:color w:val="0000EE"/>
            <w:u w:val="single"/>
          </w:rPr>
          <w:t>12.37</w:t>
        </w:r>
      </w:hyperlink>
      <w:r>
        <w:rPr>
          <w:lang w:val="fr_FR" w:bidi="fr_FR"/>
        </w:rPr>
        <w:t xml:space="preserve"> ; </w:t>
      </w:r>
      <w:hyperlink r:id="rId38">
        <w:r>
          <w:rPr>
            <w:lang w:val="fr_FR" w:bidi="fr_FR"/>
          </w:rPr>
          <w:rPr>
            <w:color w:val="0000EE"/>
            <w:u w:val="single"/>
          </w:rPr>
          <w:t>20.25–31</w:t>
        </w:r>
      </w:hyperlink>
      <w:r>
        <w:rPr>
          <w:lang w:val="fr_FR" w:bidi="fr_FR"/>
        </w:rPr>
        <w:t xml:space="preserve"> ; </w:t>
      </w:r>
      <w:hyperlink r:id="rId39">
        <w:r>
          <w:rPr>
            <w:lang w:val="fr_FR" w:bidi="fr_FR"/>
          </w:rPr>
          <w:rPr>
            <w:color w:val="0000EE"/>
            <w:u w:val="single"/>
          </w:rPr>
          <w:t>Actes 10.43</w:t>
        </w:r>
      </w:hyperlink>
      <w:r>
        <w:rPr>
          <w:lang w:val="fr_FR" w:bidi="fr_FR"/>
        </w:rPr>
        <w:t xml:space="preserve"> ; </w:t>
      </w:r>
      <w:hyperlink r:id="rId40">
        <w:r>
          <w:rPr>
            <w:lang w:val="fr_FR" w:bidi="fr_FR"/>
          </w:rPr>
          <w:rPr>
            <w:color w:val="0000EE"/>
            <w:u w:val="single"/>
          </w:rPr>
          <w:t>13.39</w:t>
        </w:r>
      </w:hyperlink>
      <w:r>
        <w:rPr>
          <w:lang w:val="fr_FR" w:bidi="fr_FR"/>
        </w:rPr>
        <w:t xml:space="preserve"> ; </w:t>
      </w:r>
      <w:hyperlink r:id="rId41">
        <w:r>
          <w:rPr>
            <w:lang w:val="fr_FR" w:bidi="fr_FR"/>
          </w:rPr>
          <w:rPr>
            <w:color w:val="0000EE"/>
            <w:u w:val="single"/>
          </w:rPr>
          <w:t>Romains 1.16</w:t>
        </w:r>
      </w:hyperlink>
      <w:r>
        <w:rPr>
          <w:lang w:val="fr_FR" w:bidi="fr_FR"/>
        </w:rPr>
        <w:t xml:space="preserve"> ; </w:t>
      </w:r>
      <w:hyperlink r:id="rId42">
        <w:r>
          <w:rPr>
            <w:lang w:val="fr_FR" w:bidi="fr_FR"/>
          </w:rPr>
          <w:rPr>
            <w:color w:val="0000EE"/>
            <w:u w:val="single"/>
          </w:rPr>
          <w:t>10.9–10</w:t>
        </w:r>
      </w:hyperlink>
      <w:r>
        <w:rPr>
          <w:lang w:val="fr_FR" w:bidi="fr_FR"/>
        </w:rPr>
        <w:t xml:space="preserve"> ; </w:t>
      </w:r>
      <w:hyperlink r:id="rId43">
        <w:r>
          <w:rPr>
            <w:lang w:val="fr_FR" w:bidi="fr_FR"/>
          </w:rPr>
          <w:rPr>
            <w:color w:val="0000EE"/>
            <w:u w:val="single"/>
          </w:rPr>
          <w:t>Hébreux 4.3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