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الهرطقات المسيحية المبكرة</w:t>
      </w:r>
      <w:r>
        <w:rPr>
          <w:lang w:val="ar_AE" w:bidi="ar_AE"/>
        </w:rPr>
      </w:r>
    </w:p>
    <w:p>
      <w:pPr>
        <w:pStyle w:val="Heading3"/>
        <w:bidi/>
      </w:pPr>
      <w:r>
        <w:rPr>
          <w:lang w:val="ar_AE" w:bidi="ar_AE"/>
        </w:rPr>
        <w:t>الهرطقة (البدعة)</w:t>
      </w:r>
    </w:p>
    <w:p>
      <w:pPr>
        <w:bidi/>
      </w:pPr>
      <w:r>
        <w:rPr>
          <w:lang w:val="ar_AE" w:bidi="ar_AE"/>
        </w:rPr>
      </w:r>
      <w:r>
        <w:rPr>
          <w:lang w:val="ar_AE" w:bidi="ar_AE"/>
        </w:rPr>
        <w:t>الكلمة اليونانية "هيريسيس" (</w:t>
      </w:r>
      <w:r>
        <w:rPr>
          <w:i/>
          <w:lang w:val="ar_AE" w:bidi="ar_AE"/>
        </w:rPr>
        <w:t>hairesis</w:t>
      </w:r>
      <w:r>
        <w:rPr>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hyperlink r:id="rId13">
        <w:r>
          <w:rPr>
            <w:lang w:val="ar_AE" w:bidi="ar_AE"/>
          </w:rPr>
          <w:rPr>
            <w:color w:val="0000EE"/>
            <w:u w:val="single"/>
          </w:rPr>
          <w:t>أعمال الرسل 5: 17</w:t>
        </w:r>
      </w:hyperlink>
      <w:r>
        <w:rPr>
          <w:lang w:val="ar_AE" w:bidi="ar_AE"/>
        </w:rPr>
        <w:t xml:space="preserve">؛ </w:t>
      </w:r>
      <w:hyperlink r:id="rId14">
        <w:r>
          <w:rPr>
            <w:lang w:val="ar_AE" w:bidi="ar_AE"/>
          </w:rPr>
          <w:rPr>
            <w:color w:val="0000EE"/>
            <w:u w:val="single"/>
          </w:rPr>
          <w:t>15: 5</w:t>
        </w:r>
      </w:hyperlink>
      <w:r>
        <w:rPr>
          <w:lang w:val="ar_AE" w:bidi="ar_AE"/>
        </w:rPr>
        <w:t>). وقد أُطلِق على المؤمنين الأوائل بيسوع المسيا اسم "شيعة الناصريين" (</w:t>
      </w:r>
      <w:hyperlink r:id="rId15">
        <w:r>
          <w:rPr>
            <w:lang w:val="ar_AE" w:bidi="ar_AE"/>
          </w:rPr>
          <w:rPr>
            <w:color w:val="0000EE"/>
            <w:u w:val="single"/>
          </w:rPr>
          <w:t>أعمال الرسل 24: 5</w:t>
        </w:r>
      </w:hyperlink>
      <w:r>
        <w:rPr>
          <w:lang w:val="ar_AE" w:bidi="ar_AE"/>
        </w:rPr>
        <w:t>). في كل أية من هذه الآيات، كانت كلمة "هيريسيس" تعني ببساطة جماعة أو طائفة أو شيعة.</w:t>
      </w:r>
    </w:p>
    <w:p>
      <w:pPr>
        <w:bidi/>
      </w:pPr>
      <w:r>
        <w:rPr>
          <w:lang w:val="ar_AE" w:bidi="ar_AE"/>
        </w:rPr>
      </w:r>
      <w:r>
        <w:rPr>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hyperlink r:id="rId16">
        <w:r>
          <w:rPr>
            <w:lang w:val="ar_AE" w:bidi="ar_AE"/>
          </w:rPr>
          <w:rPr>
            <w:color w:val="0000EE"/>
            <w:u w:val="single"/>
          </w:rPr>
          <w:t>1كورنثوس 11: 19</w:t>
        </w:r>
      </w:hyperlink>
      <w:r>
        <w:rPr>
          <w:lang w:val="ar_AE" w:bidi="ar_AE"/>
        </w:rPr>
        <w:t>).</w:t>
      </w:r>
    </w:p>
    <w:p>
      <w:pPr>
        <w:bidi/>
      </w:pPr>
      <w:r>
        <w:rPr>
          <w:lang w:val="ar_AE" w:bidi="ar_AE"/>
        </w:rPr>
      </w:r>
      <w:r>
        <w:rPr>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hyperlink r:id="rId17">
        <w:r>
          <w:rPr>
            <w:lang w:val="ar_AE" w:bidi="ar_AE"/>
          </w:rPr>
          <w:rPr>
            <w:color w:val="0000EE"/>
            <w:u w:val="single"/>
          </w:rPr>
          <w:t>2بطرس 2: 1</w:t>
        </w:r>
      </w:hyperlink>
      <w:r>
        <w:rPr>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lang w:val="ar_AE" w:bidi="ar_AE"/>
        </w:rPr>
        <w:t>هرطقتان (بدعتان) مبكرتان</w:t>
      </w:r>
    </w:p>
    <w:p>
      <w:pPr>
        <w:bidi/>
      </w:pPr>
      <w:r>
        <w:rPr>
          <w:lang w:val="ar_AE" w:bidi="ar_AE"/>
        </w:rPr>
      </w:r>
      <w:r>
        <w:rPr>
          <w:lang w:val="ar_AE" w:bidi="ar_AE"/>
        </w:rPr>
        <w:t>كانت هناك هرطقتان رئيسيتان شائعتان في الكنيسة في أيام الرسول يوحنا، وهما الغنوسية والدوسيتية.</w:t>
      </w:r>
    </w:p>
    <w:p>
      <w:pPr>
        <w:pStyle w:val="Heading4"/>
        <w:bidi/>
      </w:pPr>
      <w:r>
        <w:rPr>
          <w:lang w:val="ar_AE" w:bidi="ar_AE"/>
        </w:rPr>
        <w:t>الغنوسية</w:t>
      </w:r>
    </w:p>
    <w:p>
      <w:pPr>
        <w:bidi/>
      </w:pPr>
      <w:r>
        <w:rPr>
          <w:lang w:val="ar_AE" w:bidi="ar_AE"/>
        </w:rPr>
      </w:r>
      <w:r>
        <w:rPr>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lang w:val="ar_AE" w:bidi="ar_AE"/>
        </w:rPr>
      </w:r>
      <w:r>
        <w:rPr>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lang w:val="ar_AE" w:bidi="ar_AE"/>
        </w:rPr>
        <w:t>gnōsis</w:t>
      </w:r>
      <w:r>
        <w:rPr>
          <w:lang w:val="ar_AE" w:bidi="ar_AE"/>
        </w:rPr>
        <w:t>) السرية.</w:t>
      </w:r>
    </w:p>
    <w:p>
      <w:pPr>
        <w:bidi/>
      </w:pPr>
      <w:r>
        <w:rPr>
          <w:lang w:val="ar_AE" w:bidi="ar_AE"/>
        </w:rPr>
      </w:r>
      <w:r>
        <w:rPr>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lang w:val="ar_AE" w:bidi="ar_AE"/>
        </w:rPr>
      </w:r>
      <w:r>
        <w:rPr>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lang w:val="ar_AE" w:bidi="ar_AE"/>
        </w:rPr>
      </w:r>
      <w:r>
        <w:rPr>
          <w:lang w:val="ar_AE" w:bidi="ar_AE"/>
        </w:rPr>
        <w:t>العديد من الكتابات المسيحية في القرنين الأول والثاني تصدَّت للتعاليم الغنوسية الكاذبة.</w:t>
      </w:r>
    </w:p>
    <w:p>
      <w:pPr>
        <w:pStyle w:val="Heading4"/>
        <w:bidi/>
      </w:pPr>
      <w:r>
        <w:rPr>
          <w:lang w:val="ar_AE" w:bidi="ar_AE"/>
        </w:rPr>
        <w:t>الدوسيتية</w:t>
      </w:r>
    </w:p>
    <w:p>
      <w:pPr>
        <w:bidi/>
      </w:pPr>
      <w:r>
        <w:rPr>
          <w:lang w:val="ar_AE" w:bidi="ar_AE"/>
        </w:rPr>
      </w:r>
      <w:r>
        <w:rPr>
          <w:lang w:val="ar_AE" w:bidi="ar_AE"/>
        </w:rPr>
        <w:t>كانت الدوسيتية نوعًا من الغنوسية. وقد علَّمت بأن المسيح بدا فقط وكأن له جسدًا بشريًا، في ميلاده الجسدي، وموته، وقيامته. الفعل "دوكيو" (</w:t>
      </w:r>
      <w:r>
        <w:rPr>
          <w:i/>
          <w:lang w:val="ar_AE" w:bidi="ar_AE"/>
        </w:rPr>
        <w:t>dokeo</w:t>
      </w:r>
      <w:r>
        <w:rPr>
          <w:lang w:val="ar_AE" w:bidi="ar_AE"/>
        </w:rPr>
        <w:t>) هو فعل يوناني معناه "يبدو" أو "يظهر".</w:t>
      </w:r>
    </w:p>
    <w:p>
      <w:pPr>
        <w:bidi/>
      </w:pPr>
      <w:r>
        <w:rPr>
          <w:lang w:val="ar_AE" w:bidi="ar_AE"/>
        </w:rPr>
      </w:r>
      <w:r>
        <w:rPr>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lang w:val="ar_AE" w:bidi="ar_AE"/>
        </w:rPr>
        <w:t>"</w:t>
      </w:r>
      <w:r>
        <w:rPr>
          <w:lang w:val="ar_AE" w:bidi="ar_AE"/>
        </w:rPr>
        <w:t xml:space="preserve"> 3.3.4؛ قارن ذلك مع </w:t>
      </w:r>
      <w:hyperlink r:id="rId18">
        <w:r>
          <w:rPr>
            <w:lang w:val="ar_AE" w:bidi="ar_AE"/>
          </w:rPr>
          <w:rPr>
            <w:color w:val="0000EE"/>
            <w:u w:val="single"/>
          </w:rPr>
          <w:t>1يوحنا 5: 5–8</w:t>
        </w:r>
      </w:hyperlink>
      <w:r>
        <w:rPr>
          <w:lang w:val="ar_AE" w:bidi="ar_AE"/>
        </w:rPr>
        <w:t xml:space="preserve">؛ </w:t>
      </w:r>
      <w:hyperlink r:id="rId19">
        <w:r>
          <w:rPr>
            <w:lang w:val="ar_AE" w:bidi="ar_AE"/>
          </w:rPr>
          <w:rPr>
            <w:color w:val="0000EE"/>
            <w:u w:val="single"/>
          </w:rPr>
          <w:t>2يوحنا 1: 7</w:t>
        </w:r>
      </w:hyperlink>
      <w:r>
        <w:rPr>
          <w:lang w:val="ar_AE" w:bidi="ar_AE"/>
        </w:rPr>
        <w:t>).</w:t>
      </w:r>
    </w:p>
    <w:p>
      <w:pPr>
        <w:bidi/>
      </w:pPr>
      <w:r>
        <w:rPr>
          <w:lang w:val="ar_AE" w:bidi="ar_AE"/>
        </w:rPr>
      </w:r>
      <w:r>
        <w:rPr>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lang w:val="ar_AE" w:bidi="ar_AE"/>
        </w:rPr>
      </w:r>
      <w:r>
        <w:rPr>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أعمال الرسل 8: 9–24</w:t>
        </w:r>
      </w:hyperlink>
      <w:r>
        <w:rPr>
          <w:lang w:val="ar_AE" w:bidi="ar_AE"/>
        </w:rPr>
        <w:t xml:space="preserve">؛ </w:t>
      </w:r>
      <w:hyperlink r:id="rId21">
        <w:r>
          <w:rPr>
            <w:lang w:val="ar_AE" w:bidi="ar_AE"/>
          </w:rPr>
          <w:rPr>
            <w:color w:val="0000EE"/>
            <w:u w:val="single"/>
          </w:rPr>
          <w:t>2كورنثوس 11: 1–15</w:t>
        </w:r>
      </w:hyperlink>
      <w:r>
        <w:rPr>
          <w:lang w:val="ar_AE" w:bidi="ar_AE"/>
        </w:rPr>
        <w:t xml:space="preserve">؛ </w:t>
      </w:r>
      <w:hyperlink r:id="rId22">
        <w:r>
          <w:rPr>
            <w:lang w:val="ar_AE" w:bidi="ar_AE"/>
          </w:rPr>
          <w:rPr>
            <w:color w:val="0000EE"/>
            <w:u w:val="single"/>
          </w:rPr>
          <w:t>كولوسي 1: 23</w:t>
        </w:r>
      </w:hyperlink>
      <w:r>
        <w:rPr>
          <w:lang w:val="ar_AE" w:bidi="ar_AE"/>
        </w:rPr>
        <w:t xml:space="preserve">؛ </w:t>
      </w:r>
      <w:hyperlink r:id="rId23">
        <w:r>
          <w:rPr>
            <w:lang w:val="ar_AE" w:bidi="ar_AE"/>
          </w:rPr>
          <w:rPr>
            <w:color w:val="0000EE"/>
            <w:u w:val="single"/>
          </w:rPr>
          <w:t>2:6–23</w:t>
        </w:r>
      </w:hyperlink>
      <w:r>
        <w:rPr>
          <w:lang w:val="ar_AE" w:bidi="ar_AE"/>
        </w:rPr>
        <w:t xml:space="preserve">؛ </w:t>
      </w:r>
      <w:hyperlink r:id="rId24">
        <w:r>
          <w:rPr>
            <w:lang w:val="ar_AE" w:bidi="ar_AE"/>
          </w:rPr>
          <w:rPr>
            <w:color w:val="0000EE"/>
            <w:u w:val="single"/>
          </w:rPr>
          <w:t>1تيموثاوس 6: 20</w:t>
        </w:r>
      </w:hyperlink>
      <w:r>
        <w:rPr>
          <w:lang w:val="ar_AE" w:bidi="ar_AE"/>
        </w:rPr>
        <w:t xml:space="preserve">؛ </w:t>
      </w:r>
      <w:hyperlink r:id="rId25">
        <w:r>
          <w:rPr>
            <w:lang w:val="ar_AE" w:bidi="ar_AE"/>
          </w:rPr>
          <w:rPr>
            <w:color w:val="0000EE"/>
            <w:u w:val="single"/>
          </w:rPr>
          <w:t>2بطرس 2: 1–22</w:t>
        </w:r>
      </w:hyperlink>
      <w:r>
        <w:rPr>
          <w:lang w:val="ar_AE" w:bidi="ar_AE"/>
        </w:rPr>
        <w:t xml:space="preserve">؛ </w:t>
      </w:r>
      <w:hyperlink r:id="rId26">
        <w:r>
          <w:rPr>
            <w:lang w:val="ar_AE" w:bidi="ar_AE"/>
          </w:rPr>
          <w:rPr>
            <w:color w:val="0000EE"/>
            <w:u w:val="single"/>
          </w:rPr>
          <w:t>1يوحنا 4: 2–3</w:t>
        </w:r>
      </w:hyperlink>
      <w:r>
        <w:rPr>
          <w:lang w:val="ar_AE" w:bidi="ar_AE"/>
        </w:rPr>
        <w:t xml:space="preserve">؛ </w:t>
      </w:r>
      <w:hyperlink r:id="rId18">
        <w:r>
          <w:rPr>
            <w:lang w:val="ar_AE" w:bidi="ar_AE"/>
          </w:rPr>
          <w:rPr>
            <w:color w:val="0000EE"/>
            <w:u w:val="single"/>
          </w:rPr>
          <w:t>5: 5–8</w:t>
        </w:r>
      </w:hyperlink>
      <w:r>
        <w:rPr>
          <w:lang w:val="ar_AE" w:bidi="ar_AE"/>
        </w:rPr>
        <w:t xml:space="preserve">؛ </w:t>
      </w:r>
      <w:hyperlink r:id="rId27">
        <w:r>
          <w:rPr>
            <w:lang w:val="ar_AE" w:bidi="ar_AE"/>
          </w:rPr>
          <w:rPr>
            <w:color w:val="0000EE"/>
            <w:u w:val="single"/>
          </w:rPr>
          <w:t>2يوحنا 1: 7–11</w:t>
        </w:r>
      </w:hyperlink>
      <w:r>
        <w:rPr>
          <w:lang w:val="ar_AE" w:bidi="ar_AE"/>
        </w:rPr>
        <w:t xml:space="preserve">؛ </w:t>
      </w:r>
      <w:hyperlink r:id="rId28">
        <w:r>
          <w:rPr>
            <w:lang w:val="ar_AE" w:bidi="ar_AE"/>
          </w:rPr>
          <w:rPr>
            <w:color w:val="0000EE"/>
            <w:u w:val="single"/>
          </w:rPr>
          <w:t>3يوحنا 1: 9–12</w:t>
        </w:r>
      </w:hyperlink>
      <w:r>
        <w:rPr>
          <w:lang w:val="ar_AE" w:bidi="ar_AE"/>
        </w:rPr>
        <w:t xml:space="preserve">؛ </w:t>
      </w:r>
      <w:hyperlink r:id="rId29">
        <w:r>
          <w:rPr>
            <w:lang w:val="ar_AE" w:bidi="ar_AE"/>
          </w:rPr>
          <w:rPr>
            <w:color w:val="0000EE"/>
            <w:u w:val="single"/>
          </w:rPr>
          <w:t>رؤيا 2: 2</w:t>
        </w:r>
      </w:hyperlink>
      <w:r>
        <w:rPr>
          <w:lang w:val="ar_AE" w:bidi="ar_AE"/>
        </w:rPr>
        <w:t xml:space="preserve">، </w:t>
      </w:r>
      <w:hyperlink r:id="rId30">
        <w:r>
          <w:rPr>
            <w:lang w:val="ar_AE" w:bidi="ar_AE"/>
          </w:rPr>
          <w:rPr>
            <w:color w:val="0000EE"/>
            <w:u w:val="single"/>
          </w:rPr>
          <w:t>14–16</w:t>
        </w:r>
      </w:hyperlink>
      <w:r>
        <w:rPr>
          <w:lang w:val="ar_AE" w:bidi="ar_AE"/>
        </w:rPr>
        <w:t xml:space="preserve">، </w:t>
      </w:r>
      <w:hyperlink r:id="rId31">
        <w:r>
          <w:rPr>
            <w:lang w:val="ar_AE" w:bidi="ar_AE"/>
          </w:rPr>
          <w:rPr>
            <w:color w:val="0000EE"/>
            <w:u w:val="single"/>
          </w:rPr>
          <w:t>20–25</w:t>
        </w:r>
      </w:hyperlink>
      <w:r>
        <w:rPr>
          <w:lang w:val="ar_AE" w:bidi="ar_AE"/>
        </w:rPr>
      </w:r>
      <w:r>
        <w:rPr>
          <w:lang w:val="ar_AE" w:bidi="ar_AE"/>
        </w:rPr>
      </w:r>
    </w:p>
    <w:p>
      <w:pPr>
        <w:bidi/>
      </w:pPr>
      <w:r>
        <w:rPr>
          <w:lang w:val="ar_AE" w:bidi="ar_AE"/>
        </w:rPr>
      </w:r>
    </w:p>
    <w:p>
      <w:pPr>
        <w:pStyle w:val="Heading2"/>
        <w:bidi/>
      </w:pPr>
      <w:r>
        <w:rPr>
          <w:lang w:val="ar_AE" w:bidi="ar_AE"/>
        </w:rPr>
        <w:t>الهوية المجتمعية</w:t>
      </w:r>
      <w:r>
        <w:rPr>
          <w:lang w:val="ar_AE" w:bidi="ar_AE"/>
        </w:rPr>
      </w:r>
    </w:p>
    <w:p>
      <w:pPr>
        <w:bidi/>
      </w:pPr>
      <w:r>
        <w:rPr>
          <w:lang w:val="ar_AE" w:bidi="ar_AE"/>
        </w:rPr>
      </w:r>
      <w:r>
        <w:rPr>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lang w:val="ar_AE" w:bidi="ar_AE"/>
        </w:rPr>
      </w:r>
      <w:r>
        <w:rPr>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hyperlink r:id="rId32">
        <w:r>
          <w:rPr>
            <w:lang w:val="ar_AE" w:bidi="ar_AE"/>
          </w:rPr>
          <w:rPr>
            <w:color w:val="0000EE"/>
            <w:u w:val="single"/>
          </w:rPr>
          <w:t>خروج 20:2–17</w:t>
        </w:r>
      </w:hyperlink>
      <w:r>
        <w:rPr>
          <w:lang w:val="ar_AE" w:bidi="ar_AE"/>
        </w:rPr>
        <w:t xml:space="preserve">؛ </w:t>
      </w:r>
      <w:hyperlink r:id="rId33">
        <w:r>
          <w:rPr>
            <w:lang w:val="ar_AE" w:bidi="ar_AE"/>
          </w:rPr>
          <w:rPr>
            <w:color w:val="0000EE"/>
            <w:u w:val="single"/>
          </w:rPr>
          <w:t>عدد 6:24–26</w:t>
        </w:r>
      </w:hyperlink>
      <w:r>
        <w:rPr>
          <w:lang w:val="ar_AE" w:bidi="ar_AE"/>
        </w:rPr>
        <w:t xml:space="preserve">). وفي هذا السياق، كان من الممكن أن يُمثِّل شخص واحد الجماعة كلها، كما يمكن أن تُمثَّل الجماعة بشخص واحد. </w:t>
      </w:r>
    </w:p>
    <w:p>
      <w:pPr>
        <w:bidi/>
      </w:pPr>
      <w:r>
        <w:rPr>
          <w:lang w:val="ar_AE" w:bidi="ar_AE"/>
        </w:rPr>
      </w:r>
      <w:r>
        <w:rPr>
          <w:lang w:val="ar_AE" w:bidi="ar_AE"/>
        </w:rPr>
        <w:t>على سبيل المثال، يطلب نحميا المغفرة عن الخطايا التي أدت إلى السبي البابلي، قائلاً، "</w:t>
      </w:r>
      <w:r>
        <w:rPr>
          <w:lang w:val="ar_AE" w:bidi="ar_AE"/>
        </w:rPr>
        <w:t>أَنَا وَبَيْتُ أَبِي قَدْ أَخْطَأْنَا</w:t>
      </w:r>
      <w:r>
        <w:rPr>
          <w:lang w:val="ar_AE" w:bidi="ar_AE"/>
        </w:rPr>
        <w:t>" (</w:t>
      </w:r>
      <w:hyperlink r:id="rId34">
        <w:r>
          <w:rPr>
            <w:lang w:val="ar_AE" w:bidi="ar_AE"/>
          </w:rPr>
          <w:rPr>
            <w:color w:val="0000EE"/>
            <w:u w:val="single"/>
          </w:rPr>
          <w:t>نحميا 1:6–7</w:t>
        </w:r>
      </w:hyperlink>
      <w:r>
        <w:rPr>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lang w:val="ar_AE" w:bidi="ar_AE"/>
        </w:rPr>
      </w:r>
      <w:r>
        <w:rPr>
          <w:lang w:val="ar_AE" w:bidi="ar_AE"/>
        </w:rPr>
        <w:t>بطريقة مماثلة، كان يمكن لرئيس الكهنة أن يُمثّل الشعب كله في يوم الكفّارة (</w:t>
      </w:r>
      <w:hyperlink r:id="rId35">
        <w:r>
          <w:rPr>
            <w:lang w:val="ar_AE" w:bidi="ar_AE"/>
          </w:rPr>
          <w:rPr>
            <w:color w:val="0000EE"/>
            <w:u w:val="single"/>
          </w:rPr>
          <w:t>لاويين 16</w:t>
        </w:r>
      </w:hyperlink>
      <w:r>
        <w:rPr>
          <w:lang w:val="ar_AE" w:bidi="ar_AE"/>
        </w:rPr>
        <w:t>). ونظرًا للارتباط الوثيق بين الأفراد والمجتمع، يمكن أن تتحول خطية الشخص إلى خطية جماعية إن لم يتم التعامل معها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w:t>
      </w:r>
    </w:p>
    <w:p>
      <w:pPr>
        <w:bidi/>
      </w:pPr>
      <w:r>
        <w:rPr>
          <w:lang w:val="ar_AE" w:bidi="ar_AE"/>
        </w:rPr>
      </w:r>
      <w:r>
        <w:rPr>
          <w:lang w:val="ar_AE" w:bidi="ar_AE"/>
        </w:rPr>
        <w:t>وأيضًا، على نفس النهج، يصف بولس المجتمع المسيحي بأنه "جسد المسيح" (</w:t>
      </w:r>
      <w:hyperlink r:id="rId38">
        <w:r>
          <w:rPr>
            <w:lang w:val="ar_AE" w:bidi="ar_AE"/>
          </w:rPr>
          <w:rPr>
            <w:color w:val="0000EE"/>
            <w:u w:val="single"/>
          </w:rPr>
          <w:t>كورنثوس الأولى 12:27</w:t>
        </w:r>
      </w:hyperlink>
      <w:r>
        <w:rPr>
          <w:lang w:val="ar_AE" w:bidi="ar_AE"/>
        </w:rPr>
        <w:t xml:space="preserve">; </w:t>
      </w:r>
      <w:hyperlink r:id="rId39">
        <w:r>
          <w:rPr>
            <w:lang w:val="ar_AE" w:bidi="ar_AE"/>
          </w:rPr>
          <w:rPr>
            <w:color w:val="0000EE"/>
            <w:u w:val="single"/>
          </w:rPr>
          <w:t>أفسس 4:12</w:t>
        </w:r>
      </w:hyperlink>
      <w:r>
        <w:rPr>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hyperlink r:id="rId40">
        <w:r>
          <w:rPr>
            <w:lang w:val="ar_AE" w:bidi="ar_AE"/>
          </w:rPr>
          <w:rPr>
            <w:color w:val="0000EE"/>
            <w:u w:val="single"/>
          </w:rPr>
          <w:t>غلاطية 6:2</w:t>
        </w:r>
      </w:hyperlink>
      <w:r>
        <w:rPr>
          <w:lang w:val="ar_AE" w:bidi="ar_AE"/>
        </w:rPr>
        <w:t xml:space="preserve">; </w:t>
      </w:r>
      <w:hyperlink r:id="rId41">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
        <w:r>
          <w:rPr>
            <w:lang w:val="ar_AE" w:bidi="ar_AE"/>
          </w:rPr>
          <w:rPr>
            <w:color w:val="0000EE"/>
            <w:u w:val="single"/>
          </w:rPr>
          <w:t>خروج 20:5–6</w:t>
        </w:r>
      </w:hyperlink>
      <w:r>
        <w:rPr>
          <w:lang w:val="ar_AE" w:bidi="ar_AE"/>
        </w:rPr>
        <w:t xml:space="preserve">، </w:t>
      </w:r>
      <w:hyperlink r:id="rId43">
        <w:r>
          <w:rPr>
            <w:lang w:val="ar_AE" w:bidi="ar_AE"/>
          </w:rPr>
          <w:rPr>
            <w:color w:val="0000EE"/>
            <w:u w:val="single"/>
          </w:rPr>
          <w:t>8–10</w:t>
        </w:r>
      </w:hyperlink>
      <w:r>
        <w:rPr>
          <w:lang w:val="ar_AE" w:bidi="ar_AE"/>
        </w:rPr>
        <w:t xml:space="preserve">؛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 xml:space="preserve">؛ </w:t>
      </w:r>
      <w:hyperlink r:id="rId44">
        <w:r>
          <w:rPr>
            <w:lang w:val="ar_AE" w:bidi="ar_AE"/>
          </w:rPr>
          <w:rPr>
            <w:color w:val="0000EE"/>
            <w:u w:val="single"/>
          </w:rPr>
          <w:t>يشوع 7:1–26</w:t>
        </w:r>
      </w:hyperlink>
      <w:r>
        <w:rPr>
          <w:lang w:val="ar_AE" w:bidi="ar_AE"/>
        </w:rPr>
        <w:t xml:space="preserve">؛ </w:t>
      </w:r>
      <w:hyperlink r:id="rId34">
        <w:r>
          <w:rPr>
            <w:lang w:val="ar_AE" w:bidi="ar_AE"/>
          </w:rPr>
          <w:rPr>
            <w:color w:val="0000EE"/>
            <w:u w:val="single"/>
          </w:rPr>
          <w:t>نحميا 1:6–7</w:t>
        </w:r>
      </w:hyperlink>
      <w:r>
        <w:rPr>
          <w:lang w:val="ar_AE" w:bidi="ar_AE"/>
        </w:rPr>
        <w:t xml:space="preserve">؛ </w:t>
      </w:r>
      <w:hyperlink r:id="rId45">
        <w:r>
          <w:rPr>
            <w:lang w:val="ar_AE" w:bidi="ar_AE"/>
          </w:rPr>
          <w:rPr>
            <w:color w:val="0000EE"/>
            <w:u w:val="single"/>
          </w:rPr>
          <w:t>كورنثوس الأولى 12:12–27</w:t>
        </w:r>
      </w:hyperlink>
      <w:r>
        <w:rPr>
          <w:lang w:val="ar_AE" w:bidi="ar_AE"/>
        </w:rPr>
        <w:t xml:space="preserve">؛ </w:t>
      </w:r>
      <w:hyperlink r:id="rId40">
        <w:r>
          <w:rPr>
            <w:lang w:val="ar_AE" w:bidi="ar_AE"/>
          </w:rPr>
          <w:rPr>
            <w:color w:val="0000EE"/>
            <w:u w:val="single"/>
          </w:rPr>
          <w:t>غلاطية 6:2</w:t>
        </w:r>
      </w:hyperlink>
      <w:r>
        <w:rPr>
          <w:lang w:val="ar_AE" w:bidi="ar_AE"/>
        </w:rPr>
        <w:t xml:space="preserve">؛ </w:t>
      </w:r>
      <w:hyperlink r:id="rId46">
        <w:r>
          <w:rPr>
            <w:lang w:val="ar_AE" w:bidi="ar_AE"/>
          </w:rPr>
          <w:rPr>
            <w:color w:val="0000EE"/>
            <w:u w:val="single"/>
          </w:rPr>
          <w:t>أفسس 4:11–13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Exod20:2-Exod20:17" TargetMode="External"/><Relationship Id="rId33" Type="http://schemas.openxmlformats.org/officeDocument/2006/relationships/hyperlink" Target="https://ref.ly/Num6:24-Num6:26" TargetMode="External"/><Relationship Id="rId34" Type="http://schemas.openxmlformats.org/officeDocument/2006/relationships/hyperlink" Target="https://ref.ly/Neh1:6-Neh1:7" TargetMode="External"/><Relationship Id="rId35" Type="http://schemas.openxmlformats.org/officeDocument/2006/relationships/hyperlink" Target="https://ref.ly/Lev16:1-Lev16:34" TargetMode="External"/><Relationship Id="rId36" Type="http://schemas.openxmlformats.org/officeDocument/2006/relationships/hyperlink" Target="https://ref.ly/Lev4:3-Lev4:21" TargetMode="External"/><Relationship Id="rId37" Type="http://schemas.openxmlformats.org/officeDocument/2006/relationships/hyperlink" Target="https://ref.ly/Lev20:1-Lev20:5" TargetMode="External"/><Relationship Id="rId38" Type="http://schemas.openxmlformats.org/officeDocument/2006/relationships/hyperlink" Target="https://ref.ly/1Cor12:27" TargetMode="External"/><Relationship Id="rId39" Type="http://schemas.openxmlformats.org/officeDocument/2006/relationships/hyperlink" Target="https://ref.ly/Eph4:12" TargetMode="External"/><Relationship Id="rId40" Type="http://schemas.openxmlformats.org/officeDocument/2006/relationships/hyperlink" Target="https://ref.ly/Gal6:2" TargetMode="External"/><Relationship Id="rId41" Type="http://schemas.openxmlformats.org/officeDocument/2006/relationships/hyperlink" Target="https://ref.ly/Matt11:28-Matt11:30" TargetMode="External"/><Relationship Id="rId42" Type="http://schemas.openxmlformats.org/officeDocument/2006/relationships/hyperlink" Target="https://ref.ly/Exod20:5-Exod20:6" TargetMode="External"/><Relationship Id="rId43" Type="http://schemas.openxmlformats.org/officeDocument/2006/relationships/hyperlink" Target="https://ref.ly/Exod20:8-Exod20:10" TargetMode="External"/><Relationship Id="rId44" Type="http://schemas.openxmlformats.org/officeDocument/2006/relationships/hyperlink" Target="https://ref.ly/Josh7:1-Josh7:26" TargetMode="External"/><Relationship Id="rId45" Type="http://schemas.openxmlformats.org/officeDocument/2006/relationships/hyperlink" Target="https://ref.ly/1Cor12:12-1Cor12:27" TargetMode="External"/><Relationship Id="rId4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