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"Ele Virá"</w:t>
      </w:r>
      <w:r>
        <w:rPr>
          <w:lang w:val="pt_PT" w:bidi="pt_PT"/>
        </w:rPr>
      </w:r>
    </w:p>
    <w:p>
      <w:pPr/>
      <w:r>
        <w:rPr>
          <w:lang w:val="pt_PT" w:bidi="pt_PT"/>
        </w:rPr>
      </w:r>
      <w:r>
        <w:rPr>
          <w:lang w:val="pt_PT" w:bidi="pt_PT"/>
        </w:rPr>
        <w:t>Jesus prometeu aos seus seguidores que retornaria para levá-los a estar com ele para sempre (</w:t>
      </w:r>
      <w:hyperlink r:id="rId13">
        <w:r>
          <w:rPr>
            <w:lang w:val="pt_PT" w:bidi="pt_PT"/>
          </w:rPr>
          <w:rPr>
            <w:color w:val="0000EE"/>
            <w:u w:val="single"/>
          </w:rPr>
          <w:t>João 14.1–3</w:t>
        </w:r>
      </w:hyperlink>
      <w:r>
        <w:rPr>
          <w:lang w:val="pt_PT" w:bidi="pt_PT"/>
        </w:rPr>
        <w:t>). Logo após Jesus ascender ao céu, os apóstolos receberam a mensagem de que ele voltaria um dia (</w:t>
      </w:r>
      <w:hyperlink r:id="rId14">
        <w:r>
          <w:rPr>
            <w:lang w:val="pt_PT" w:bidi="pt_PT"/>
          </w:rPr>
          <w:rPr>
            <w:color w:val="0000EE"/>
            <w:u w:val="single"/>
          </w:rPr>
          <w:t>Atos 1.9–11</w:t>
        </w:r>
      </w:hyperlink>
      <w:r>
        <w:rPr>
          <w:lang w:val="pt_PT" w:bidi="pt_PT"/>
        </w:rPr>
        <w:t>). Nas visões descritas no livro de Apocalipse, João ouve Jesus prometer retornar novamente (</w:t>
      </w:r>
      <w:hyperlink r:id="rId15">
        <w:r>
          <w:rPr>
            <w:lang w:val="pt_PT" w:bidi="pt_PT"/>
          </w:rPr>
          <w:rPr>
            <w:color w:val="0000EE"/>
            <w:u w:val="single"/>
          </w:rPr>
          <w:t>Apocalipse 22.6–20</w:t>
        </w:r>
      </w:hyperlink>
      <w:r>
        <w:rPr>
          <w:lang w:val="pt_PT" w:bidi="pt_PT"/>
        </w:rPr>
        <w:t>).</w:t>
      </w:r>
    </w:p>
    <w:p>
      <w:pPr/>
      <w:r>
        <w:rPr>
          <w:lang w:val="pt_PT" w:bidi="pt_PT"/>
        </w:rPr>
      </w:r>
      <w:r>
        <w:rPr>
          <w:lang w:val="pt_PT" w:bidi="pt_PT"/>
        </w:rPr>
        <w:t>A conclusão final de todas as coisas, "o Dia do Senhor" (</w:t>
      </w:r>
      <w:hyperlink r:id="rId16">
        <w:r>
          <w:rPr>
            <w:lang w:val="pt_PT" w:bidi="pt_PT"/>
          </w:rPr>
          <w:rPr>
            <w:color w:val="0000EE"/>
            <w:u w:val="single"/>
          </w:rPr>
          <w:t>2Ts 2.2</w:t>
        </w:r>
      </w:hyperlink>
      <w:r>
        <w:rPr>
          <w:lang w:val="pt_PT" w:bidi="pt_PT"/>
        </w:rPr>
        <w:t>), virá como uma surpresa, "como um ladrão, na calada da noite" (</w:t>
      </w:r>
      <w:hyperlink r:id="rId17">
        <w:r>
          <w:rPr>
            <w:lang w:val="pt_PT" w:bidi="pt_PT"/>
          </w:rPr>
          <w:rPr>
            <w:color w:val="0000EE"/>
            <w:u w:val="single"/>
          </w:rPr>
          <w:t>1 Tesslonicenses 5.2</w:t>
        </w:r>
      </w:hyperlink>
      <w:r>
        <w:rPr>
          <w:lang w:val="pt_PT" w:bidi="pt_PT"/>
        </w:rPr>
        <w:t>). Jesus disse que "somente o Pai" sabe quando esse dia será (</w:t>
      </w:r>
      <w:hyperlink r:id="rId18">
        <w:r>
          <w:rPr>
            <w:lang w:val="pt_PT" w:bidi="pt_PT"/>
          </w:rPr>
          <w:rPr>
            <w:color w:val="0000EE"/>
            <w:u w:val="single"/>
          </w:rPr>
          <w:t>Mateus 24.36</w:t>
        </w:r>
      </w:hyperlink>
      <w:r>
        <w:rPr>
          <w:lang w:val="pt_PT" w:bidi="pt_PT"/>
        </w:rPr>
        <w:t xml:space="preserve">; </w:t>
      </w:r>
      <w:hyperlink r:id="rId19">
        <w:r>
          <w:rPr>
            <w:lang w:val="pt_PT" w:bidi="pt_PT"/>
          </w:rPr>
          <w:rPr>
            <w:color w:val="0000EE"/>
            <w:u w:val="single"/>
          </w:rPr>
          <w:t>Atos 1.6–7</w:t>
        </w:r>
      </w:hyperlink>
      <w:r>
        <w:rPr>
          <w:lang w:val="pt_PT" w:bidi="pt_PT"/>
        </w:rPr>
        <w:t>). Agora é um tempo de esperança e confiança, não de adivinhações. Os cristãos não devem marcar datas e horários para o fim.</w:t>
      </w:r>
    </w:p>
    <w:p>
      <w:pPr/>
      <w:r>
        <w:rPr>
          <w:lang w:val="pt_PT" w:bidi="pt_PT"/>
        </w:rPr>
      </w:r>
      <w:r>
        <w:rPr>
          <w:lang w:val="pt_PT" w:bidi="pt_PT"/>
        </w:rPr>
        <w:t>Quando a Bíblia ensina sobre eventos futuros (o que acontecerá no fim dos tempos), ela nos oferece duas coisas importantes: esperança durante tempos difíceis e sabedoria sobre como viver no presente. O ensino da Bíblia sobre os tempos finais, também chamado de escatologia (o estudo do que acontecerá no futuro), nos ajuda a focar em viver fielmente hoje. Em vez de nos preocuparmos exatamente com quando esses eventos ocorrerão, devemos nos concentrar em como vivemos agora.</w:t>
      </w:r>
    </w:p>
    <w:p>
      <w:pPr/>
      <w:r>
        <w:rPr>
          <w:lang w:val="pt_PT" w:bidi="pt_PT"/>
        </w:rPr>
      </w:r>
      <w:r>
        <w:rPr>
          <w:lang w:val="pt_PT" w:bidi="pt_PT"/>
        </w:rPr>
        <w:t>O apóstolo Paulo descreve eventos como "a rebelião" e o aparecimento do "homem da iniquidade" que acontecerão antes do "Dia do Senhor" (</w:t>
      </w:r>
      <w:hyperlink r:id="rId20">
        <w:r>
          <w:rPr>
            <w:lang w:val="pt_PT" w:bidi="pt_PT"/>
          </w:rPr>
          <w:rPr>
            <w:color w:val="0000EE"/>
            <w:u w:val="single"/>
          </w:rPr>
          <w:t>2 Tessalonicenses 2.1–12</w:t>
        </w:r>
      </w:hyperlink>
      <w:r>
        <w:rPr>
          <w:lang w:val="pt_PT" w:bidi="pt_PT"/>
        </w:rPr>
        <w:t>). No entanto, ele não se concentra nos detalhes. Em vez disso, ele lembra seu público dessas coisas para refutar ensinamentos falsos e encorajar os cristãos que sofrem pela fé (</w:t>
      </w:r>
      <w:hyperlink r:id="rId21">
        <w:r>
          <w:rPr>
            <w:lang w:val="pt_PT" w:bidi="pt_PT"/>
          </w:rPr>
          <w:rPr>
            <w:color w:val="0000EE"/>
            <w:u w:val="single"/>
          </w:rPr>
          <w:t>2 Tessalonicenses 1.3–10</w:t>
        </w:r>
      </w:hyperlink>
      <w:r>
        <w:rPr>
          <w:lang w:val="pt_PT" w:bidi="pt_PT"/>
        </w:rPr>
        <w:t xml:space="preserve">; </w:t>
      </w:r>
      <w:hyperlink r:id="rId22">
        <w:r>
          <w:rPr>
            <w:lang w:val="pt_PT" w:bidi="pt_PT"/>
          </w:rPr>
          <w:rPr>
            <w:color w:val="0000EE"/>
            <w:u w:val="single"/>
          </w:rPr>
          <w:t>2.5</w:t>
        </w:r>
      </w:hyperlink>
      <w:r>
        <w:rPr>
          <w:lang w:val="pt_PT" w:bidi="pt_PT"/>
        </w:rPr>
        <w:t>).</w:t>
      </w:r>
    </w:p>
    <w:p>
      <w:pPr/>
      <w:r>
        <w:rPr>
          <w:lang w:val="pt_PT" w:bidi="pt_PT"/>
        </w:rPr>
      </w:r>
      <w:r>
        <w:rPr>
          <w:lang w:val="pt_PT" w:bidi="pt_PT"/>
        </w:rPr>
        <w:t>Quando Cristo retornar, Ele irá:</w:t>
      </w:r>
    </w:p>
    <w:p>
      <w:pPr>
        <w:pStyle w:val="ListBullet"/>
        <w:spacing w:line="240" w:lineRule="auto"/>
        <w:ind w:left="720"/>
      </w:pPr>
      <w:r>
        <w:rPr>
          <w:lang w:val="pt_PT" w:bidi="pt_PT"/>
        </w:rPr>
      </w:r>
      <w:r>
        <w:rPr>
          <w:lang w:val="pt_PT" w:bidi="pt_PT"/>
        </w:rPr>
        <w:t>derrotar os inimigos das boas-novas sobre Jesus (o Evangelho)</w:t>
      </w:r>
    </w:p>
    <w:p>
      <w:pPr>
        <w:pStyle w:val="ListBullet"/>
        <w:spacing w:line="240" w:lineRule="auto"/>
        <w:ind w:left="720"/>
      </w:pPr>
      <w:r>
        <w:rPr>
          <w:lang w:val="pt_PT" w:bidi="pt_PT"/>
        </w:rPr>
      </w:r>
      <w:r>
        <w:rPr>
          <w:lang w:val="pt_PT" w:bidi="pt_PT"/>
        </w:rPr>
        <w:t>salvar os cristãos que sofrem (</w:t>
      </w:r>
      <w:hyperlink r:id="rId23">
        <w:r>
          <w:rPr>
            <w:lang w:val="pt_PT" w:bidi="pt_PT"/>
          </w:rPr>
          <w:rPr>
            <w:color w:val="0000EE"/>
            <w:u w:val="single"/>
          </w:rPr>
          <w:t>2 Tessalonicenses 1.7–10</w:t>
        </w:r>
      </w:hyperlink>
      <w:r>
        <w:rPr>
          <w:lang w:val="pt_PT" w:bidi="pt_PT"/>
        </w:rPr>
        <w:t>)</w:t>
      </w:r>
    </w:p>
    <w:p>
      <w:pPr>
        <w:pStyle w:val="ListBullet"/>
        <w:spacing w:line="240" w:lineRule="auto"/>
        <w:ind w:left="720"/>
      </w:pPr>
      <w:r>
        <w:rPr>
          <w:lang w:val="pt_PT" w:bidi="pt_PT"/>
        </w:rPr>
      </w:r>
      <w:r>
        <w:rPr>
          <w:lang w:val="pt_PT" w:bidi="pt_PT"/>
        </w:rPr>
        <w:t>reunir seus seguidores para estarem com ele para sempre (</w:t>
      </w:r>
      <w:hyperlink r:id="rId24">
        <w:r>
          <w:rPr>
            <w:lang w:val="pt_PT" w:bidi="pt_PT"/>
          </w:rPr>
          <w:rPr>
            <w:color w:val="0000EE"/>
            <w:u w:val="single"/>
          </w:rPr>
          <w:t>1 Tessalonicenses 4.13–17</w:t>
        </w:r>
      </w:hyperlink>
      <w:r>
        <w:rPr>
          <w:lang w:val="pt_PT" w:bidi="pt_PT"/>
        </w:rPr>
        <w:t>)</w:t>
      </w:r>
    </w:p>
    <w:p>
      <w:pPr/>
      <w:r>
        <w:rPr>
          <w:lang w:val="pt_PT" w:bidi="pt_PT"/>
        </w:rPr>
      </w:r>
      <w:r>
        <w:rPr>
          <w:lang w:val="pt_PT" w:bidi="pt_PT"/>
        </w:rPr>
        <w:t>Este evento futuro requer uma resposta agora. Aqueles que aceitam as boas-novas e vivem para Deus podem ter confiança no resgate. Aqueles que rejeitam Deus experimentarão destruição eterna. A escolha e o chamado de Deus para os cristãos são sua esperança e conforto (</w:t>
      </w:r>
      <w:hyperlink r:id="rId25">
        <w:r>
          <w:rPr>
            <w:lang w:val="pt_PT" w:bidi="pt_PT"/>
          </w:rPr>
          <w:rPr>
            <w:color w:val="0000EE"/>
            <w:u w:val="single"/>
          </w:rPr>
          <w:t>2 Tessalonicenses 2.13–14</w:t>
        </w:r>
      </w:hyperlink>
      <w:r>
        <w:rPr>
          <w:lang w:val="pt_PT" w:bidi="pt_PT"/>
        </w:rPr>
        <w:t>). Eles podem permanecer firmes agora enquanto olham para o futuro (</w:t>
      </w:r>
      <w:hyperlink r:id="rId26">
        <w:r>
          <w:rPr>
            <w:lang w:val="pt_PT" w:bidi="pt_PT"/>
          </w:rPr>
          <w:rPr>
            <w:color w:val="0000EE"/>
            <w:u w:val="single"/>
          </w:rPr>
          <w:t>2.14–15</w:t>
        </w:r>
      </w:hyperlink>
      <w:r>
        <w:rPr>
          <w:lang w:val="pt_PT" w:bidi="pt_PT"/>
        </w:rPr>
        <w:t>). Eles têm uma garantia do resultado quando Ele retornar.</w:t>
      </w:r>
    </w:p>
    <w:p>
      <w:pPr/>
      <w:r>
        <w:rPr>
          <w:lang w:val="pt_PT" w:bidi="pt_PT"/>
        </w:rPr>
      </w:r>
      <w:r>
        <w:rPr>
          <w:u w:val="single"/>
          <w:lang w:val="pt_PT" w:bidi="pt_PT"/>
        </w:rPr>
        <w:t>Passagens para estudo complementar</w:t>
      </w:r>
    </w:p>
    <w:p>
      <w:pPr/>
      <w:r>
        <w:rPr>
          <w:lang w:val="pt_PT" w:bidi="pt_PT"/>
        </w:rPr>
      </w:r>
      <w:hyperlink r:id="rId27">
        <w:r>
          <w:rPr>
            <w:lang w:val="pt_PT" w:bidi="pt_PT"/>
          </w:rPr>
          <w:rPr>
            <w:color w:val="0000EE"/>
            <w:u w:val="single"/>
          </w:rPr>
          <w:t>Mateus 25.1–46</w:t>
        </w:r>
      </w:hyperlink>
      <w:r>
        <w:rPr>
          <w:lang w:val="pt_PT" w:bidi="pt_PT"/>
        </w:rPr>
        <w:t xml:space="preserve">; </w:t>
      </w:r>
      <w:hyperlink r:id="rId19">
        <w:r>
          <w:rPr>
            <w:lang w:val="pt_PT" w:bidi="pt_PT"/>
          </w:rPr>
          <w:rPr>
            <w:color w:val="0000EE"/>
            <w:u w:val="single"/>
          </w:rPr>
          <w:t>Atos 1.6–7</w:t>
        </w:r>
      </w:hyperlink>
      <w:r>
        <w:rPr>
          <w:lang w:val="pt_PT" w:bidi="pt_PT"/>
        </w:rPr>
        <w:t xml:space="preserve">; </w:t>
      </w:r>
      <w:hyperlink r:id="rId28">
        <w:r>
          <w:rPr>
            <w:lang w:val="pt_PT" w:bidi="pt_PT"/>
          </w:rPr>
          <w:rPr>
            <w:color w:val="0000EE"/>
            <w:u w:val="single"/>
          </w:rPr>
          <w:t>1 Tessalonicenses 4.13–5.11</w:t>
        </w:r>
      </w:hyperlink>
      <w:r>
        <w:rPr>
          <w:lang w:val="pt_PT" w:bidi="pt_PT"/>
        </w:rPr>
        <w:t xml:space="preserve">; </w:t>
      </w:r>
      <w:hyperlink r:id="rId23">
        <w:r>
          <w:rPr>
            <w:lang w:val="pt_PT" w:bidi="pt_PT"/>
          </w:rPr>
          <w:rPr>
            <w:color w:val="0000EE"/>
            <w:u w:val="single"/>
          </w:rPr>
          <w:t>2 Tessalonicenses 1.7–10</w:t>
        </w:r>
      </w:hyperlink>
      <w:r>
        <w:rPr>
          <w:lang w:val="pt_PT" w:bidi="pt_PT"/>
        </w:rPr>
        <w:t xml:space="preserve">; </w:t>
      </w:r>
      <w:hyperlink r:id="rId20">
        <w:r>
          <w:rPr>
            <w:lang w:val="pt_PT" w:bidi="pt_PT"/>
          </w:rPr>
          <w:rPr>
            <w:color w:val="0000EE"/>
            <w:u w:val="single"/>
          </w:rPr>
          <w:t>2 Tessalonicenses 2.1–12.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John14:3" TargetMode="External"/><Relationship Id="rId14" Type="http://schemas.openxmlformats.org/officeDocument/2006/relationships/hyperlink" Target="https://ref.ly/Acts1:9-Acts1:11" TargetMode="External"/><Relationship Id="rId15" Type="http://schemas.openxmlformats.org/officeDocument/2006/relationships/hyperlink" Target="https://ref.ly/Rev22:6-Rev22:20" TargetMode="External"/><Relationship Id="rId16" Type="http://schemas.openxmlformats.org/officeDocument/2006/relationships/hyperlink" Target="https://ref.ly/2Thess2:2" TargetMode="External"/><Relationship Id="rId17" Type="http://schemas.openxmlformats.org/officeDocument/2006/relationships/hyperlink" Target="https://ref.ly/1Thess5:2" TargetMode="External"/><Relationship Id="rId18" Type="http://schemas.openxmlformats.org/officeDocument/2006/relationships/hyperlink" Target="https://ref.ly/Matt24:36" TargetMode="External"/><Relationship Id="rId19" Type="http://schemas.openxmlformats.org/officeDocument/2006/relationships/hyperlink" Target="https://ref.ly/Acts1:6-Acts1:7" TargetMode="External"/><Relationship Id="rId20" Type="http://schemas.openxmlformats.org/officeDocument/2006/relationships/hyperlink" Target="https://ref.ly/2Thess2:1-2Thess2:12" TargetMode="External"/><Relationship Id="rId21" Type="http://schemas.openxmlformats.org/officeDocument/2006/relationships/hyperlink" Target="https://ref.ly/2Thess1:3-2Thess1:10" TargetMode="External"/><Relationship Id="rId22" Type="http://schemas.openxmlformats.org/officeDocument/2006/relationships/hyperlink" Target="https://ref.ly/2Thess2:5" TargetMode="External"/><Relationship Id="rId23" Type="http://schemas.openxmlformats.org/officeDocument/2006/relationships/hyperlink" Target="https://ref.ly/2Thess1:7-2Thess1:10" TargetMode="External"/><Relationship Id="rId24" Type="http://schemas.openxmlformats.org/officeDocument/2006/relationships/hyperlink" Target="https://ref.ly/1Thess4:13-1Thess4:17" TargetMode="External"/><Relationship Id="rId25" Type="http://schemas.openxmlformats.org/officeDocument/2006/relationships/hyperlink" Target="https://ref.ly/2Thess2:13-2Thess2:14" TargetMode="External"/><Relationship Id="rId26" Type="http://schemas.openxmlformats.org/officeDocument/2006/relationships/hyperlink" Target="https://ref.ly/2Thess2:14-2Thess2:15" TargetMode="External"/><Relationship Id="rId27" Type="http://schemas.openxmlformats.org/officeDocument/2006/relationships/hyperlink" Target="https://ref.ly/Matt25:1-Matt25:46" TargetMode="External"/><Relationship Id="rId28" Type="http://schemas.openxmlformats.org/officeDocument/2006/relationships/hyperlink" Target="https://ref.ly/1Thess4:13-1Thes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