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(Themes)</w:t>
      </w:r>
      <w:r>
        <w:rPr>
          <w:rtl/>
          <w:cs/>
          <w:lang w:val="ar_AE" w:bidi="ar_AE"/>
        </w:rPr>
      </w:r>
    </w:p>
    <w:p>
      <w:pPr>
        <w:bidi/>
      </w:pPr>
      <w:r>
        <w:rPr>
          <w:rtl/>
          <w:cs/>
          <w:lang w:val="ar_AE" w:bidi="ar_AE"/>
        </w:rPr>
      </w:r>
      <w:r>
        <w:rPr>
          <w:b/>
          <w:rtl/>
          <w:cs/>
          <w:lang w:val="ar_AE" w:bidi="ar_AE"/>
        </w:rPr>
        <w:t>Aquifer Open Study Notes (Themes)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د</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الديانة الكنعانية</w:t>
      </w:r>
      <w:r>
        <w:rPr>
          <w:rtl/>
          <w:cs/>
          <w:lang w:val="ar_AE" w:bidi="ar_AE"/>
        </w:rPr>
      </w:r>
    </w:p>
    <w:p>
      <w:pPr>
        <w:bidi/>
      </w:pPr>
      <w:r>
        <w:rPr>
          <w:rtl/>
          <w:cs/>
          <w:lang w:val="ar_AE" w:bidi="ar_AE"/>
        </w:rPr>
      </w:r>
      <w:r>
        <w:rPr>
          <w:rtl/>
          <w:cs/>
          <w:lang w:val="ar_AE" w:bidi="ar_AE"/>
        </w:rPr>
        <w:t>كان الكنعانيون يربطون الخليقة أو الطبيعة بآلهتهم. كان كل إله يمثِّل إحدى قوى الطبيعة. فقد اعتبروا القمر، والشمس، والنجوم البارزة، والكواكب المرئية آلهة أو إلهات.</w:t>
      </w:r>
    </w:p>
    <w:p>
      <w:pPr>
        <w:bidi/>
      </w:pPr>
      <w:r>
        <w:rPr>
          <w:rtl/>
          <w:cs/>
          <w:lang w:val="ar_AE" w:bidi="ar_AE"/>
        </w:rPr>
      </w:r>
      <w:r>
        <w:rPr>
          <w:rtl/>
          <w:cs/>
          <w:lang w:val="ar_AE" w:bidi="ar_AE"/>
        </w:rPr>
        <w:t>كان للآلهة الكنعانية جانبان بارزان:</w:t>
      </w:r>
    </w:p>
    <w:p>
      <w:pPr>
        <w:pStyle w:val="ListNumber"/>
        <w:numPr>
          <w:ilvl w:val="0"/>
          <w:numId w:val="14"/>
        </w:numPr>
        <w:bidi/>
        <w:spacing w:line="240" w:lineRule="auto"/>
        <w:ind w:left="720"/>
      </w:pPr>
      <w:r>
        <w:rPr>
          <w:rtl/>
          <w:cs/>
          <w:lang w:val="ar_AE" w:bidi="ar_AE"/>
        </w:rPr>
      </w:r>
      <w:r>
        <w:rPr>
          <w:rtl/>
          <w:cs/>
          <w:lang w:val="ar_AE" w:bidi="ar_AE"/>
        </w:rPr>
        <w:t>قد تتغير شخصياتها.</w:t>
      </w:r>
    </w:p>
    <w:p>
      <w:pPr>
        <w:pStyle w:val="ListNumber"/>
        <w:bidi/>
        <w:spacing w:line="240" w:lineRule="auto"/>
        <w:ind w:left="720"/>
      </w:pPr>
      <w:r>
        <w:rPr>
          <w:rtl/>
          <w:cs/>
          <w:lang w:val="ar_AE" w:bidi="ar_AE"/>
        </w:rPr>
      </w:r>
      <w:r>
        <w:rPr>
          <w:rtl/>
          <w:cs/>
          <w:lang w:val="ar_AE" w:bidi="ar_AE"/>
        </w:rPr>
        <w:t>كانت أسماؤها مرتبطة بأدوارها.</w:t>
      </w:r>
    </w:p>
    <w:p>
      <w:pPr>
        <w:bidi/>
      </w:pPr>
      <w:r>
        <w:rPr>
          <w:rtl/>
          <w:cs/>
          <w:lang w:val="ar_AE" w:bidi="ar_AE"/>
        </w:rPr>
      </w:r>
      <w:r>
        <w:rPr>
          <w:rtl/>
          <w:cs/>
          <w:lang w:val="ar_AE" w:bidi="ar_AE"/>
        </w:rPr>
        <w:t>كان لبعض هذه الآلهة تأثير كبير في تعاملات بني إسرائيل مع الشعب الكنعاني:</w:t>
      </w:r>
    </w:p>
    <w:p>
      <w:pPr>
        <w:pStyle w:val="ListNumber"/>
        <w:numPr>
          <w:ilvl w:val="0"/>
          <w:numId w:val="15"/>
        </w:numPr>
        <w:bidi/>
        <w:spacing w:line="240" w:lineRule="auto"/>
        <w:ind w:left="720"/>
      </w:pPr>
      <w:r>
        <w:rPr>
          <w:rtl/>
          <w:cs/>
          <w:lang w:val="ar_AE" w:bidi="ar_AE"/>
        </w:rPr>
      </w:r>
      <w:r>
        <w:rPr>
          <w:rtl/>
          <w:cs/>
          <w:lang w:val="ar_AE" w:bidi="ar_AE"/>
        </w:rPr>
        <w:t>الاسم "إل"</w:t>
      </w:r>
      <w:r>
        <w:rPr>
          <w:i/>
          <w:rtl/>
          <w:cs/>
          <w:lang w:val="ar_AE" w:bidi="ar_AE"/>
        </w:rPr>
        <w:t xml:space="preserve"> </w:t>
      </w:r>
      <w:r>
        <w:rPr>
          <w:rtl/>
          <w:cs/>
          <w:lang w:val="ar_AE" w:bidi="ar_AE"/>
        </w:rPr>
        <w:t>معناه "القوي". كان هذا هو رئيس الآلهة الكنعانية. كان الإله "إل" يسكن في موضع بعيد عن كنعان، "عند منبع النهرين" (ربما يشير هذا إلى جنة عدن)، وكان يرأس مجمعًا من الآلهة هم أولاده. وفي العهد القديم، يشير الاسم "إل" (إلوهيم في صيغة الجمع ) إلى الله، لكن إله شعب إسرائيل كان مختلفًا عن إله الكنعانيين.</w:t>
      </w:r>
    </w:p>
    <w:p>
      <w:pPr>
        <w:pStyle w:val="ListNumber"/>
        <w:bidi/>
        <w:spacing w:line="240" w:lineRule="auto"/>
        <w:ind w:left="720"/>
      </w:pPr>
      <w:r>
        <w:rPr>
          <w:rtl/>
          <w:cs/>
          <w:lang w:val="ar_AE" w:bidi="ar_AE"/>
        </w:rPr>
      </w:r>
      <w:r>
        <w:rPr>
          <w:rtl/>
          <w:cs/>
          <w:lang w:val="ar_AE" w:bidi="ar_AE"/>
        </w:rPr>
        <w:t>الاسم "بعل" معناه "سيد". كان هذا هو إله العواصف العظيم وملك الآلهة. ومع أن "إل" كان الرئيس، كان البعل يتمتع بقوة أكثر نشاطًا بصفته الثاني في ترتيب القيادة بعد "إل". وكان مصدرًَا لكلِّ خصوبة. وعندما كان البعل يموت، كانت النباتات تتوقف عن النمو والحيوانات تتوقف عن التكاثر. وقد كان إله العدالة، وكان يثير الخوف في نفوس الذين يرتكبون الأخطاء.</w:t>
      </w:r>
    </w:p>
    <w:p>
      <w:pPr>
        <w:pStyle w:val="ListNumber"/>
        <w:bidi/>
        <w:spacing w:line="240" w:lineRule="auto"/>
        <w:ind w:left="720"/>
      </w:pPr>
      <w:r>
        <w:rPr>
          <w:rtl/>
          <w:cs/>
          <w:lang w:val="ar_AE" w:bidi="ar_AE"/>
        </w:rPr>
      </w:r>
      <w:r>
        <w:rPr>
          <w:rtl/>
          <w:cs/>
          <w:lang w:val="ar_AE" w:bidi="ar_AE"/>
        </w:rPr>
        <w:t>الاسم "داجون" معناه "سمك" أو "حبوب". وهو يُدعَى أحيانًا أبًا للبعل. كان داجون هو الإله الأساسي لمدينة أشدود الفلسطينية (</w:t>
      </w:r>
      <w:r>
        <w:rPr>
          <w:rtl/>
          <w:cs/>
          <w:lang w:val="ar_AE" w:bidi="ar_AE"/>
        </w:rPr>
        <w:t>1صموئيل 5: 1–7</w:t>
      </w:r>
      <w:r>
        <w:rPr>
          <w:rtl/>
          <w:cs/>
          <w:lang w:val="ar_AE" w:bidi="ar_AE"/>
        </w:rPr>
        <w:t>).</w:t>
      </w:r>
    </w:p>
    <w:p>
      <w:pPr>
        <w:pStyle w:val="ListNumber"/>
        <w:bidi/>
        <w:spacing w:line="240" w:lineRule="auto"/>
        <w:ind w:left="720"/>
      </w:pPr>
      <w:r>
        <w:rPr>
          <w:rtl/>
          <w:cs/>
          <w:lang w:val="ar_AE" w:bidi="ar_AE"/>
        </w:rPr>
      </w:r>
      <w:r>
        <w:rPr>
          <w:rtl/>
          <w:cs/>
          <w:lang w:val="ar_AE" w:bidi="ar_AE"/>
        </w:rPr>
        <w:t>عشتاروث، وعناة، والسارية كانت الآلهات الرئيسية الثلاث في مجموعة الآلهة الكنعانية. وكانت متصلة بشكل أساسي بالجنس والحرب. وكان دورها الرئيسي هو إقامة علاقات جنسية سنوية مع البعل، الأمر الذي كان يحافظ على قوة البعل ويضمن خصوبة الأرض.</w:t>
      </w:r>
    </w:p>
    <w:p>
      <w:pPr>
        <w:bidi/>
      </w:pPr>
      <w:r>
        <w:rPr>
          <w:rtl/>
          <w:cs/>
          <w:lang w:val="ar_AE" w:bidi="ar_AE"/>
        </w:rPr>
      </w:r>
      <w:r>
        <w:rPr>
          <w:rtl/>
          <w:cs/>
          <w:lang w:val="ar_AE" w:bidi="ar_AE"/>
        </w:rPr>
        <w:t>كان الكنعانيون يعتقدون أن قوى الطبيعة هي التي تفسِّر تغيُّر الفصول. فمن شهر أبريل إلى شهر أكتوبر، كانوا يعتبرون أن جفاف هذه الفترة يرجع إلى موت البعل، بعد هزيمته في معركة تحدث كلَّ ربيع. وكانت أمطار الخريف تشير إلى عودة البعل إلى الحياة بصفته إله المطر والنباتات، وكان هذا يستمر حتى شهر أبريل التالي. وكانوا يعتقدون أن الأرض أصبحت خصبة مرة أخرى بسبب التزاوج السنوي للبعل مع شريكته الأنثى. واشتملت أنشطتهم الدينية على محاكاة أفعال آلهتهم.</w:t>
      </w:r>
    </w:p>
    <w:p>
      <w:pPr>
        <w:bidi/>
      </w:pPr>
      <w:r>
        <w:rPr>
          <w:rtl/>
          <w:cs/>
          <w:lang w:val="ar_AE" w:bidi="ar_AE"/>
        </w:rPr>
      </w:r>
      <w:r>
        <w:rPr>
          <w:rtl/>
          <w:cs/>
          <w:lang w:val="ar_AE" w:bidi="ar_AE"/>
        </w:rPr>
        <w:t xml:space="preserve">كان الكنعانيون يعبدون الأشياء التي كانوا يعتقدون أنها ستجلب لهم فوائد مادية. فإذا أرضوا الآلهة والإلهات، ستمدُّهم هذه الآلهة بحصاد جيد. وإذا غضب أيُّ إله، كان الناس يقدِّمون ذبائح حيوانية أو بشرية لتهدئته (انظر </w:t>
      </w:r>
      <w:r>
        <w:rPr>
          <w:rtl/>
          <w:cs/>
          <w:lang w:val="ar_AE" w:bidi="ar_AE"/>
        </w:rPr>
        <w:t>2ملوك 3: 26–27</w:t>
      </w:r>
      <w:r>
        <w:rPr>
          <w:rtl/>
          <w:cs/>
          <w:lang w:val="ar_AE" w:bidi="ar_AE"/>
        </w:rPr>
        <w:t>). فقد كانت عبادة الكنعانيين قائمة على الخوف وعلى محاولة التأثير في الآلهة أو تهدئتها.</w:t>
      </w:r>
    </w:p>
    <w:p>
      <w:pPr>
        <w:bidi/>
      </w:pPr>
      <w:r>
        <w:rPr>
          <w:rtl/>
          <w:cs/>
          <w:lang w:val="ar_AE" w:bidi="ar_AE"/>
        </w:rPr>
      </w:r>
      <w:r>
        <w:rPr>
          <w:rtl/>
          <w:cs/>
          <w:lang w:val="ar_AE" w:bidi="ar_AE"/>
        </w:rPr>
        <w:t>أدَّى التفاعل بين العديد من ديانات الشرق الأدنى القديم إلى ظهور مشكلات اجتماعية وإلى اقتباس بعض الممارسات الدينية. تبنَّى الأراميون والفلسطينيون الذين سكنوا في كنعان بعض الممارسات الكنعانية. وبالمثل، أدرج الأموريون بعض الممارسات الدينية السومرية في عبادتهم عندما انتقلوا إلى بلاد ما بين النهرين.</w:t>
      </w:r>
    </w:p>
    <w:p>
      <w:pPr>
        <w:bidi/>
      </w:pPr>
      <w:r>
        <w:rPr>
          <w:rtl/>
          <w:cs/>
          <w:lang w:val="ar_AE" w:bidi="ar_AE"/>
        </w:rPr>
      </w:r>
      <w:r>
        <w:rPr>
          <w:rtl/>
          <w:cs/>
          <w:lang w:val="ar_AE" w:bidi="ar_AE"/>
        </w:rPr>
        <w:t xml:space="preserve">على النقيض من ذلك، طالب يهوه، إله إسرائيل، بالولاء التام. وكانت عبادته تقوم على الإيمان وليس الخوف. لكن للأسف، لم يحافظ بنو إسرائيل على إيمانهم بالله الواحد (التوحيد)، حيث تبنوا أفكارًا وممارسات وثنية، وعبدوا آلهة كنعانية بطريقتهم. وبهذا، فسد مجتمعهم وأسخطوا الله. ونتيجةً لذلك، أدانهم الله وأرسلهم إلى السبي (انظر </w:t>
      </w:r>
      <w:r>
        <w:rPr>
          <w:rtl/>
          <w:cs/>
          <w:lang w:val="ar_AE" w:bidi="ar_AE"/>
        </w:rPr>
        <w:t>2ملوك 17: 5–23؛</w:t>
      </w:r>
      <w:r>
        <w:rPr>
          <w:rtl/>
          <w:cs/>
          <w:lang w:val="ar_AE" w:bidi="ar_AE"/>
        </w:rPr>
        <w:t xml:space="preserve"> </w:t>
      </w:r>
      <w:r>
        <w:rPr>
          <w:rtl/>
          <w:cs/>
          <w:lang w:val="ar_AE" w:bidi="ar_AE"/>
        </w:rPr>
        <w:t>24: 18–25:21</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1صموئيل 5: 1–12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دينونة الله لشعبه</w:t>
      </w:r>
      <w:r>
        <w:rPr>
          <w:rtl/>
          <w:cs/>
          <w:lang w:val="ar_AE" w:bidi="ar_AE"/>
        </w:rPr>
      </w:r>
    </w:p>
    <w:p>
      <w:pPr>
        <w:bidi/>
      </w:pPr>
      <w:r>
        <w:rPr>
          <w:rtl/>
          <w:cs/>
          <w:lang w:val="ar_AE" w:bidi="ar_AE"/>
        </w:rPr>
      </w:r>
      <w:r>
        <w:rPr>
          <w:rtl/>
          <w:cs/>
          <w:lang w:val="ar_AE" w:bidi="ar_AE"/>
        </w:rPr>
        <w:t>كان ملوك إسرائيل ويهوذا ذوي أهمية كبيرة في تاريخ المملكة المنقسمة. لكن كان للشعب أيضًا التأثير على مجريات الأحداث. فقد اتبع الشعب حكامه الأشرار (</w:t>
      </w:r>
      <w:r>
        <w:rPr>
          <w:rtl/>
          <w:cs/>
          <w:lang w:val="ar_AE" w:bidi="ar_AE"/>
        </w:rPr>
        <w:t>الملوك الثاني 3:3</w:t>
      </w:r>
      <w:r>
        <w:rPr>
          <w:rtl/>
          <w:cs/>
          <w:lang w:val="ar_AE" w:bidi="ar_AE"/>
        </w:rPr>
        <w:t xml:space="preserve">; </w:t>
      </w:r>
      <w:r>
        <w:rPr>
          <w:rtl/>
          <w:cs/>
          <w:lang w:val="ar_AE" w:bidi="ar_AE"/>
        </w:rPr>
        <w:t>17:22</w:t>
      </w:r>
      <w:r>
        <w:rPr>
          <w:rtl/>
          <w:cs/>
          <w:lang w:val="ar_AE" w:bidi="ar_AE"/>
        </w:rPr>
        <w:t xml:space="preserve">; </w:t>
      </w:r>
      <w:r>
        <w:rPr>
          <w:rtl/>
          <w:cs/>
          <w:lang w:val="ar_AE" w:bidi="ar_AE"/>
        </w:rPr>
        <w:t>21:9</w:t>
      </w:r>
      <w:r>
        <w:rPr>
          <w:rtl/>
          <w:cs/>
          <w:lang w:val="ar_AE" w:bidi="ar_AE"/>
        </w:rPr>
        <w:t xml:space="preserve">, </w:t>
      </w:r>
      <w:r>
        <w:rPr>
          <w:rtl/>
          <w:cs/>
          <w:lang w:val="ar_AE" w:bidi="ar_AE"/>
        </w:rPr>
        <w:t>11</w:t>
      </w:r>
      <w:r>
        <w:rPr>
          <w:rtl/>
          <w:cs/>
          <w:lang w:val="ar_AE" w:bidi="ar_AE"/>
        </w:rPr>
        <w:t xml:space="preserve">, </w:t>
      </w:r>
      <w:r>
        <w:rPr>
          <w:rtl/>
          <w:cs/>
          <w:lang w:val="ar_AE" w:bidi="ar_AE"/>
        </w:rPr>
        <w:t>16</w:t>
      </w:r>
      <w:r>
        <w:rPr>
          <w:rtl/>
          <w:cs/>
          <w:lang w:val="ar_AE" w:bidi="ar_AE"/>
        </w:rPr>
        <w:t>). وتوقفوا عن طاعة الله (</w:t>
      </w:r>
      <w:r>
        <w:rPr>
          <w:rtl/>
          <w:cs/>
          <w:lang w:val="ar_AE" w:bidi="ar_AE"/>
        </w:rPr>
        <w:t>12:3</w:t>
      </w:r>
      <w:r>
        <w:rPr>
          <w:rtl/>
          <w:cs/>
          <w:lang w:val="ar_AE" w:bidi="ar_AE"/>
        </w:rPr>
        <w:t xml:space="preserve">; </w:t>
      </w:r>
      <w:r>
        <w:rPr>
          <w:rtl/>
          <w:cs/>
          <w:lang w:val="ar_AE" w:bidi="ar_AE"/>
        </w:rPr>
        <w:t>14:4</w:t>
      </w:r>
      <w:r>
        <w:rPr>
          <w:rtl/>
          <w:cs/>
          <w:lang w:val="ar_AE" w:bidi="ar_AE"/>
        </w:rPr>
        <w:t xml:space="preserve">; </w:t>
      </w:r>
      <w:r>
        <w:rPr>
          <w:rtl/>
          <w:cs/>
          <w:lang w:val="ar_AE" w:bidi="ar_AE"/>
        </w:rPr>
        <w:t>15:4</w:t>
      </w:r>
      <w:r>
        <w:rPr>
          <w:rtl/>
          <w:cs/>
          <w:lang w:val="ar_AE" w:bidi="ar_AE"/>
        </w:rPr>
        <w:t xml:space="preserve">, </w:t>
      </w:r>
      <w:r>
        <w:rPr>
          <w:rtl/>
          <w:cs/>
          <w:lang w:val="ar_AE" w:bidi="ar_AE"/>
        </w:rPr>
        <w:t>35</w:t>
      </w:r>
      <w:r>
        <w:rPr>
          <w:rtl/>
          <w:cs/>
          <w:lang w:val="ar_AE" w:bidi="ar_AE"/>
        </w:rPr>
        <w:t xml:space="preserve">; </w:t>
      </w:r>
      <w:r>
        <w:rPr>
          <w:rtl/>
          <w:cs/>
          <w:lang w:val="ar_AE" w:bidi="ar_AE"/>
        </w:rPr>
        <w:t>17:9–11</w:t>
      </w:r>
      <w:r>
        <w:rPr>
          <w:rtl/>
          <w:cs/>
          <w:lang w:val="ar_AE" w:bidi="ar_AE"/>
        </w:rPr>
        <w:t xml:space="preserve">; </w:t>
      </w:r>
      <w:r>
        <w:rPr>
          <w:rtl/>
          <w:cs/>
          <w:lang w:val="ar_AE" w:bidi="ar_AE"/>
        </w:rPr>
        <w:t>18:4</w:t>
      </w:r>
      <w:r>
        <w:rPr>
          <w:rtl/>
          <w:cs/>
          <w:lang w:val="ar_AE" w:bidi="ar_AE"/>
        </w:rPr>
        <w:t xml:space="preserve">; </w:t>
      </w:r>
      <w:r>
        <w:rPr>
          <w:rtl/>
          <w:cs/>
          <w:lang w:val="ar_AE" w:bidi="ar_AE"/>
        </w:rPr>
        <w:t>22:17</w:t>
      </w:r>
      <w:r>
        <w:rPr>
          <w:rtl/>
          <w:cs/>
          <w:lang w:val="ar_AE" w:bidi="ar_AE"/>
        </w:rPr>
        <w:t>). كما شارك بني إسرائيل في الممارسات الدينية التي بدأها يربعام الأول (</w:t>
      </w:r>
      <w:r>
        <w:rPr>
          <w:rtl/>
          <w:cs/>
          <w:lang w:val="ar_AE" w:bidi="ar_AE"/>
        </w:rPr>
        <w:t>10:28–31</w:t>
      </w:r>
      <w:r>
        <w:rPr>
          <w:rtl/>
          <w:cs/>
          <w:lang w:val="ar_AE" w:bidi="ar_AE"/>
        </w:rPr>
        <w:t xml:space="preserve">; </w:t>
      </w:r>
      <w:r>
        <w:rPr>
          <w:rtl/>
          <w:cs/>
          <w:lang w:val="ar_AE" w:bidi="ar_AE"/>
        </w:rPr>
        <w:t>17:21–22</w:t>
      </w:r>
      <w:r>
        <w:rPr>
          <w:rtl/>
          <w:cs/>
          <w:lang w:val="ar_AE" w:bidi="ar_AE"/>
        </w:rPr>
        <w:t>)، وعبدوا في المزارات الوثنية (أماكن للعبادة الوثنية) (</w:t>
      </w:r>
      <w:r>
        <w:rPr>
          <w:rtl/>
          <w:cs/>
          <w:lang w:val="ar_AE" w:bidi="ar_AE"/>
        </w:rPr>
        <w:t>12:3</w:t>
      </w:r>
      <w:r>
        <w:rPr>
          <w:rtl/>
          <w:cs/>
          <w:lang w:val="ar_AE" w:bidi="ar_AE"/>
        </w:rPr>
        <w:t xml:space="preserve">; </w:t>
      </w:r>
      <w:r>
        <w:rPr>
          <w:rtl/>
          <w:cs/>
          <w:lang w:val="ar_AE" w:bidi="ar_AE"/>
        </w:rPr>
        <w:t>14:4</w:t>
      </w:r>
      <w:r>
        <w:rPr>
          <w:rtl/>
          <w:cs/>
          <w:lang w:val="ar_AE" w:bidi="ar_AE"/>
        </w:rPr>
        <w:t xml:space="preserve">; </w:t>
      </w:r>
      <w:r>
        <w:rPr>
          <w:rtl/>
          <w:cs/>
          <w:lang w:val="ar_AE" w:bidi="ar_AE"/>
        </w:rPr>
        <w:t>15:4</w:t>
      </w:r>
      <w:r>
        <w:rPr>
          <w:rtl/>
          <w:cs/>
          <w:lang w:val="ar_AE" w:bidi="ar_AE"/>
        </w:rPr>
        <w:t xml:space="preserve">, </w:t>
      </w:r>
      <w:r>
        <w:rPr>
          <w:rtl/>
          <w:cs/>
          <w:lang w:val="ar_AE" w:bidi="ar_AE"/>
        </w:rPr>
        <w:t>35</w:t>
      </w:r>
      <w:r>
        <w:rPr>
          <w:rtl/>
          <w:cs/>
          <w:lang w:val="ar_AE" w:bidi="ar_AE"/>
        </w:rPr>
        <w:t xml:space="preserve">; </w:t>
      </w:r>
      <w:r>
        <w:rPr>
          <w:rtl/>
          <w:cs/>
          <w:lang w:val="ar_AE" w:bidi="ar_AE"/>
        </w:rPr>
        <w:t>18:4</w:t>
      </w:r>
      <w:r>
        <w:rPr>
          <w:rtl/>
          <w:cs/>
          <w:lang w:val="ar_AE" w:bidi="ar_AE"/>
        </w:rPr>
        <w:t>).</w:t>
      </w:r>
    </w:p>
    <w:p>
      <w:pPr>
        <w:bidi/>
      </w:pPr>
      <w:r>
        <w:rPr>
          <w:rtl/>
          <w:cs/>
          <w:lang w:val="ar_AE" w:bidi="ar_AE"/>
        </w:rPr>
      </w:r>
      <w:r>
        <w:rPr>
          <w:rtl/>
          <w:cs/>
          <w:lang w:val="ar_AE" w:bidi="ar_AE"/>
        </w:rPr>
        <w:t>خلال هذه الفترة، تصف الكتابات المقدسة أحيانًا شعب الله بشكل إيجابي. فقد احتفل شعب يهوذا عندما أزالوا الملكة عثليا وأصبح يواش ملكًا (</w:t>
      </w:r>
      <w:r>
        <w:rPr>
          <w:rtl/>
          <w:cs/>
          <w:lang w:val="ar_AE" w:bidi="ar_AE"/>
        </w:rPr>
        <w:t>2 ملوك 11:12</w:t>
      </w:r>
      <w:r>
        <w:rPr>
          <w:rtl/>
          <w:cs/>
          <w:lang w:val="ar_AE" w:bidi="ar_AE"/>
        </w:rPr>
        <w:t xml:space="preserve">, </w:t>
      </w:r>
      <w:r>
        <w:rPr>
          <w:rtl/>
          <w:cs/>
          <w:lang w:val="ar_AE" w:bidi="ar_AE"/>
        </w:rPr>
        <w:t>18–20</w:t>
      </w:r>
      <w:r>
        <w:rPr>
          <w:rtl/>
          <w:cs/>
          <w:lang w:val="ar_AE" w:bidi="ar_AE"/>
        </w:rPr>
        <w:t>). وأحيانًا ساهم الشعب في اختيار ملوك جدد أو اتبعوا قادة صالحين (</w:t>
      </w:r>
      <w:r>
        <w:rPr>
          <w:rtl/>
          <w:cs/>
          <w:lang w:val="ar_AE" w:bidi="ar_AE"/>
        </w:rPr>
        <w:t>14:21</w:t>
      </w:r>
      <w:r>
        <w:rPr>
          <w:rtl/>
          <w:cs/>
          <w:lang w:val="ar_AE" w:bidi="ar_AE"/>
        </w:rPr>
        <w:t xml:space="preserve">; </w:t>
      </w:r>
      <w:r>
        <w:rPr>
          <w:rtl/>
          <w:cs/>
          <w:lang w:val="ar_AE" w:bidi="ar_AE"/>
        </w:rPr>
        <w:t>23:30</w:t>
      </w:r>
      <w:r>
        <w:rPr>
          <w:rtl/>
          <w:cs/>
          <w:lang w:val="ar_AE" w:bidi="ar_AE"/>
        </w:rPr>
        <w:t xml:space="preserve">; </w:t>
      </w:r>
      <w:r>
        <w:rPr>
          <w:rtl/>
          <w:cs/>
          <w:lang w:val="ar_AE" w:bidi="ar_AE"/>
        </w:rPr>
        <w:t>11:17</w:t>
      </w:r>
      <w:r>
        <w:rPr>
          <w:rtl/>
          <w:cs/>
          <w:lang w:val="ar_AE" w:bidi="ar_AE"/>
        </w:rPr>
        <w:t xml:space="preserve">; </w:t>
      </w:r>
      <w:r>
        <w:rPr>
          <w:rtl/>
          <w:cs/>
          <w:lang w:val="ar_AE" w:bidi="ar_AE"/>
        </w:rPr>
        <w:t>18:36</w:t>
      </w:r>
      <w:r>
        <w:rPr>
          <w:rtl/>
          <w:cs/>
          <w:lang w:val="ar_AE" w:bidi="ar_AE"/>
        </w:rPr>
        <w:t xml:space="preserve">; </w:t>
      </w:r>
      <w:r>
        <w:rPr>
          <w:rtl/>
          <w:cs/>
          <w:lang w:val="ar_AE" w:bidi="ar_AE"/>
        </w:rPr>
        <w:t>23:1–3</w:t>
      </w:r>
      <w:r>
        <w:rPr>
          <w:rtl/>
          <w:cs/>
          <w:lang w:val="ar_AE" w:bidi="ar_AE"/>
        </w:rPr>
        <w:t xml:space="preserve">, </w:t>
      </w:r>
      <w:r>
        <w:rPr>
          <w:rtl/>
          <w:cs/>
          <w:lang w:val="ar_AE" w:bidi="ar_AE"/>
        </w:rPr>
        <w:t>21–23</w:t>
      </w:r>
      <w:r>
        <w:rPr>
          <w:rtl/>
          <w:cs/>
          <w:lang w:val="ar_AE" w:bidi="ar_AE"/>
        </w:rPr>
        <w:t>).</w:t>
      </w:r>
    </w:p>
    <w:p>
      <w:pPr>
        <w:bidi/>
      </w:pPr>
      <w:r>
        <w:rPr>
          <w:rtl/>
          <w:cs/>
          <w:lang w:val="ar_AE" w:bidi="ar_AE"/>
        </w:rPr>
      </w:r>
      <w:r>
        <w:rPr>
          <w:rtl/>
          <w:cs/>
          <w:lang w:val="ar_AE" w:bidi="ar_AE"/>
        </w:rPr>
        <w:t>استمر الله في تحذير شعبه عن طريق أنبيائه (</w:t>
      </w:r>
      <w:r>
        <w:rPr>
          <w:rtl/>
          <w:cs/>
          <w:lang w:val="ar_AE" w:bidi="ar_AE"/>
        </w:rPr>
        <w:t>2 ملوك 17:13</w:t>
      </w:r>
      <w:r>
        <w:rPr>
          <w:rtl/>
          <w:cs/>
          <w:lang w:val="ar_AE" w:bidi="ar_AE"/>
        </w:rPr>
        <w:t>). ومع ذلك، استمر شعب المملكتين في التمرد ضد الله (</w:t>
      </w:r>
      <w:r>
        <w:rPr>
          <w:rtl/>
          <w:cs/>
          <w:lang w:val="ar_AE" w:bidi="ar_AE"/>
        </w:rPr>
        <w:t>17:14–19</w:t>
      </w:r>
      <w:r>
        <w:rPr>
          <w:rtl/>
          <w:cs/>
          <w:lang w:val="ar_AE" w:bidi="ar_AE"/>
        </w:rPr>
        <w:t xml:space="preserve">, </w:t>
      </w:r>
      <w:r>
        <w:rPr>
          <w:rtl/>
          <w:cs/>
          <w:lang w:val="ar_AE" w:bidi="ar_AE"/>
        </w:rPr>
        <w:t>22</w:t>
      </w:r>
      <w:r>
        <w:rPr>
          <w:rtl/>
          <w:cs/>
          <w:lang w:val="ar_AE" w:bidi="ar_AE"/>
        </w:rPr>
        <w:t>). ونتيجة لذلك، أدانهم الله كما وعد (</w:t>
      </w:r>
      <w:r>
        <w:rPr>
          <w:rtl/>
          <w:cs/>
          <w:lang w:val="ar_AE" w:bidi="ar_AE"/>
        </w:rPr>
        <w:t>17:22–23</w:t>
      </w:r>
      <w:r>
        <w:rPr>
          <w:rtl/>
          <w:cs/>
          <w:lang w:val="ar_AE" w:bidi="ar_AE"/>
        </w:rPr>
        <w:t xml:space="preserve">; </w:t>
      </w:r>
      <w:r>
        <w:rPr>
          <w:rtl/>
          <w:cs/>
          <w:lang w:val="ar_AE" w:bidi="ar_AE"/>
        </w:rPr>
        <w:t>21:10–15</w:t>
      </w:r>
      <w:r>
        <w:rPr>
          <w:rtl/>
          <w:cs/>
          <w:lang w:val="ar_AE" w:bidi="ar_AE"/>
        </w:rPr>
        <w:t xml:space="preserve">; </w:t>
      </w:r>
      <w:r>
        <w:rPr>
          <w:rtl/>
          <w:cs/>
          <w:lang w:val="ar_AE" w:bidi="ar_AE"/>
        </w:rPr>
        <w:t>22:17</w:t>
      </w:r>
      <w:r>
        <w:rPr>
          <w:rtl/>
          <w:cs/>
          <w:lang w:val="ar_AE" w:bidi="ar_AE"/>
        </w:rPr>
        <w:t xml:space="preserve">; </w:t>
      </w:r>
      <w:r>
        <w:rPr>
          <w:rtl/>
          <w:cs/>
          <w:lang w:val="ar_AE" w:bidi="ar_AE"/>
        </w:rPr>
        <w:t>23:26–27</w:t>
      </w:r>
      <w:r>
        <w:rPr>
          <w:rtl/>
          <w:cs/>
          <w:lang w:val="ar_AE" w:bidi="ar_AE"/>
        </w:rPr>
        <w:t xml:space="preserve">; </w:t>
      </w:r>
      <w:r>
        <w:rPr>
          <w:rtl/>
          <w:cs/>
          <w:lang w:val="ar_AE" w:bidi="ar_AE"/>
        </w:rPr>
        <w:t>24:20</w:t>
      </w:r>
      <w:r>
        <w:rPr>
          <w:rtl/>
          <w:cs/>
          <w:lang w:val="ar_AE" w:bidi="ar_AE"/>
        </w:rPr>
        <w:t xml:space="preserve">; </w:t>
      </w:r>
      <w:r>
        <w:rPr>
          <w:rtl/>
          <w:cs/>
          <w:lang w:val="ar_AE" w:bidi="ar_AE"/>
        </w:rPr>
        <w:t>25:21</w:t>
      </w:r>
      <w:r>
        <w:rPr>
          <w:rtl/>
          <w:cs/>
          <w:lang w:val="ar_AE" w:bidi="ar_AE"/>
        </w:rPr>
        <w:t>). لقد تصرّف الله وفقًا لشروط عهده الخاص معهم (</w:t>
      </w:r>
      <w:r>
        <w:rPr>
          <w:rtl/>
          <w:cs/>
          <w:lang w:val="ar_AE" w:bidi="ar_AE"/>
        </w:rPr>
        <w:t>لاويين 26:27–39</w:t>
      </w:r>
      <w:r>
        <w:rPr>
          <w:rtl/>
          <w:cs/>
          <w:lang w:val="ar_AE" w:bidi="ar_AE"/>
        </w:rPr>
        <w:t>).</w:t>
      </w:r>
    </w:p>
    <w:p>
      <w:pPr>
        <w:bidi/>
      </w:pPr>
      <w:r>
        <w:rPr>
          <w:rtl/>
          <w:cs/>
          <w:lang w:val="ar_AE" w:bidi="ar_AE"/>
        </w:rPr>
      </w:r>
      <w:r>
        <w:rPr>
          <w:rtl/>
          <w:cs/>
          <w:lang w:val="ar_AE" w:bidi="ar_AE"/>
        </w:rPr>
        <w:t xml:space="preserve">ومع ذلك، استمر الله في محبته لشعبه ورغب في استردادهم (انظر </w:t>
      </w:r>
      <w:r>
        <w:rPr>
          <w:rtl/>
          <w:cs/>
          <w:lang w:val="ar_AE" w:bidi="ar_AE"/>
        </w:rPr>
        <w:t>هوشع 11:1–11</w:t>
      </w:r>
      <w:r>
        <w:rPr>
          <w:rtl/>
          <w:cs/>
          <w:lang w:val="ar_AE" w:bidi="ar_AE"/>
        </w:rPr>
        <w:t>). فقد كان الله يهتم بشعبه دائمًا. لقد أنقذهم من سنحاريب (</w:t>
      </w:r>
      <w:r>
        <w:rPr>
          <w:rtl/>
          <w:cs/>
          <w:lang w:val="ar_AE" w:bidi="ar_AE"/>
        </w:rPr>
        <w:t>2 ملوك 18:17–19:37</w:t>
      </w:r>
      <w:r>
        <w:rPr>
          <w:rtl/>
          <w:cs/>
          <w:lang w:val="ar_AE" w:bidi="ar_AE"/>
        </w:rPr>
        <w:t>). ووعد بأن بقيّة صغيرة منهم ستزدهر مرة أخرى في الأرض (</w:t>
      </w:r>
      <w:r>
        <w:rPr>
          <w:rtl/>
          <w:cs/>
          <w:lang w:val="ar_AE" w:bidi="ar_AE"/>
        </w:rPr>
        <w:t>19:30–31</w:t>
      </w:r>
      <w:r>
        <w:rPr>
          <w:rtl/>
          <w:cs/>
          <w:lang w:val="ar_AE" w:bidi="ar_AE"/>
        </w:rPr>
        <w:t>). وقد يكون حسن المعاملة التي تلقاها الملك يهوياكين في بابل قد جدد الأمل لدى الشعب التائب (</w:t>
      </w:r>
      <w:r>
        <w:rPr>
          <w:rtl/>
          <w:cs/>
          <w:lang w:val="ar_AE" w:bidi="ar_AE"/>
        </w:rPr>
        <w:t>25:27–30</w:t>
      </w:r>
      <w:r>
        <w:rPr>
          <w:rtl/>
          <w:cs/>
          <w:lang w:val="ar_AE" w:bidi="ar_AE"/>
        </w:rPr>
        <w:t>).</w:t>
      </w:r>
    </w:p>
    <w:p>
      <w:pPr>
        <w:bidi/>
      </w:pPr>
      <w:r>
        <w:rPr>
          <w:rtl/>
          <w:cs/>
          <w:lang w:val="ar_AE" w:bidi="ar_AE"/>
        </w:rPr>
      </w:r>
      <w:r>
        <w:rPr>
          <w:rtl/>
          <w:cs/>
          <w:lang w:val="ar_AE" w:bidi="ar_AE"/>
        </w:rPr>
        <w:t>لقد وعد الله باسترداد شعبه من السبي، وأن يمنحهم شركة معه في الأرض من جديد. كما وعد أن يملك عليهم من خلال ملكه المختار، الذي هو من نسل داود (</w:t>
      </w:r>
      <w:r>
        <w:rPr>
          <w:rtl/>
          <w:cs/>
          <w:lang w:val="ar_AE" w:bidi="ar_AE"/>
        </w:rPr>
        <w:t>إرميا 23:3–6</w:t>
      </w:r>
      <w:r>
        <w:rPr>
          <w:rtl/>
          <w:cs/>
          <w:lang w:val="ar_AE" w:bidi="ar_AE"/>
        </w:rPr>
        <w:t xml:space="preserve">; انظر أيضًا </w:t>
      </w:r>
      <w:r>
        <w:rPr>
          <w:rtl/>
          <w:cs/>
          <w:lang w:val="ar_AE" w:bidi="ar_AE"/>
        </w:rPr>
        <w:t>إشعياء 11</w:t>
      </w:r>
      <w:r>
        <w:rPr>
          <w:rtl/>
          <w:cs/>
          <w:lang w:val="ar_AE" w:bidi="ar_AE"/>
        </w:rPr>
        <w:t xml:space="preserve">; </w:t>
      </w:r>
      <w:r>
        <w:rPr>
          <w:rtl/>
          <w:cs/>
          <w:lang w:val="ar_AE" w:bidi="ar_AE"/>
        </w:rPr>
        <w:t>رومية 11:5–36</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لاويين 26:27–39</w:t>
      </w:r>
      <w:r>
        <w:rPr>
          <w:rtl/>
          <w:cs/>
          <w:lang w:val="ar_AE" w:bidi="ar_AE"/>
        </w:rPr>
        <w:t xml:space="preserve">; </w:t>
      </w:r>
      <w:r>
        <w:rPr>
          <w:rtl/>
          <w:cs/>
          <w:lang w:val="ar_AE" w:bidi="ar_AE"/>
        </w:rPr>
        <w:t>2 ملوك 17:7–23</w:t>
      </w:r>
      <w:r>
        <w:rPr>
          <w:rtl/>
          <w:cs/>
          <w:lang w:val="ar_AE" w:bidi="ar_AE"/>
        </w:rPr>
        <w:t xml:space="preserve">; </w:t>
      </w:r>
      <w:r>
        <w:rPr>
          <w:rtl/>
          <w:cs/>
          <w:lang w:val="ar_AE" w:bidi="ar_AE"/>
        </w:rPr>
        <w:t>21:9–16</w:t>
      </w:r>
      <w:r>
        <w:rPr>
          <w:rtl/>
          <w:cs/>
          <w:lang w:val="ar_AE" w:bidi="ar_AE"/>
        </w:rPr>
        <w:t xml:space="preserve">; </w:t>
      </w:r>
      <w:r>
        <w:rPr>
          <w:rtl/>
          <w:cs/>
          <w:lang w:val="ar_AE" w:bidi="ar_AE"/>
        </w:rPr>
        <w:t>23:26–27</w:t>
      </w:r>
      <w:r>
        <w:rPr>
          <w:rtl/>
          <w:cs/>
          <w:lang w:val="ar_AE" w:bidi="ar_AE"/>
        </w:rPr>
        <w:t xml:space="preserve">; </w:t>
      </w:r>
      <w:r>
        <w:rPr>
          <w:rtl/>
          <w:cs/>
          <w:lang w:val="ar_AE" w:bidi="ar_AE"/>
        </w:rPr>
        <w:t>24:20–25:21</w:t>
      </w:r>
      <w:r>
        <w:rPr>
          <w:rtl/>
          <w:cs/>
          <w:lang w:val="ar_AE" w:bidi="ar_AE"/>
        </w:rPr>
        <w:t xml:space="preserve">; </w:t>
      </w:r>
      <w:r>
        <w:rPr>
          <w:rtl/>
          <w:cs/>
          <w:lang w:val="ar_AE" w:bidi="ar_AE"/>
        </w:rPr>
        <w:t>مزمور 62:12</w:t>
      </w:r>
      <w:r>
        <w:rPr>
          <w:rtl/>
          <w:cs/>
          <w:lang w:val="ar_AE" w:bidi="ar_AE"/>
        </w:rPr>
        <w:t xml:space="preserve">; </w:t>
      </w:r>
      <w:r>
        <w:rPr>
          <w:rtl/>
          <w:cs/>
          <w:lang w:val="ar_AE" w:bidi="ar_AE"/>
        </w:rPr>
        <w:t>أمثال 11:31</w:t>
      </w:r>
      <w:r>
        <w:rPr>
          <w:rtl/>
          <w:cs/>
          <w:lang w:val="ar_AE" w:bidi="ar_AE"/>
        </w:rPr>
        <w:t xml:space="preserve">; </w:t>
      </w:r>
      <w:r>
        <w:rPr>
          <w:rtl/>
          <w:cs/>
          <w:lang w:val="ar_AE" w:bidi="ar_AE"/>
        </w:rPr>
        <w:t>إشعياء 3:10–11</w:t>
      </w:r>
      <w:r>
        <w:rPr>
          <w:rtl/>
          <w:cs/>
          <w:lang w:val="ar_AE" w:bidi="ar_AE"/>
        </w:rPr>
        <w:t xml:space="preserve">; </w:t>
      </w:r>
      <w:r>
        <w:rPr>
          <w:rtl/>
          <w:cs/>
          <w:lang w:val="ar_AE" w:bidi="ar_AE"/>
        </w:rPr>
        <w:t>إرميا 1:16</w:t>
      </w:r>
      <w:r>
        <w:rPr>
          <w:rtl/>
          <w:cs/>
          <w:lang w:val="ar_AE" w:bidi="ar_AE"/>
        </w:rPr>
        <w:t xml:space="preserve">; </w:t>
      </w:r>
      <w:r>
        <w:rPr>
          <w:rtl/>
          <w:cs/>
          <w:lang w:val="ar_AE" w:bidi="ar_AE"/>
        </w:rPr>
        <w:t>17:10</w:t>
      </w:r>
      <w:r>
        <w:rPr>
          <w:rtl/>
          <w:cs/>
          <w:lang w:val="ar_AE" w:bidi="ar_AE"/>
        </w:rPr>
        <w:t xml:space="preserve">; </w:t>
      </w:r>
      <w:r>
        <w:rPr>
          <w:rtl/>
          <w:cs/>
          <w:lang w:val="ar_AE" w:bidi="ar_AE"/>
        </w:rPr>
        <w:t>23:3–6</w:t>
      </w:r>
      <w:r>
        <w:rPr>
          <w:rtl/>
          <w:cs/>
          <w:lang w:val="ar_AE" w:bidi="ar_AE"/>
        </w:rPr>
        <w:t xml:space="preserve">; </w:t>
      </w:r>
      <w:r>
        <w:rPr>
          <w:rtl/>
          <w:cs/>
          <w:lang w:val="ar_AE" w:bidi="ar_AE"/>
        </w:rPr>
        <w:t>حزقيال 7:1–9</w:t>
      </w:r>
      <w:r>
        <w:rPr>
          <w:rtl/>
          <w:cs/>
          <w:lang w:val="ar_AE" w:bidi="ar_AE"/>
        </w:rPr>
        <w:t xml:space="preserve">; </w:t>
      </w:r>
      <w:r>
        <w:rPr>
          <w:rtl/>
          <w:cs/>
          <w:lang w:val="ar_AE" w:bidi="ar_AE"/>
        </w:rPr>
        <w:t>33:18–20</w:t>
      </w:r>
      <w:r>
        <w:rPr>
          <w:rtl/>
          <w:cs/>
          <w:lang w:val="ar_AE" w:bidi="ar_AE"/>
        </w:rPr>
        <w:t xml:space="preserve">; </w:t>
      </w:r>
      <w:r>
        <w:rPr>
          <w:rtl/>
          <w:cs/>
          <w:lang w:val="ar_AE" w:bidi="ar_AE"/>
        </w:rPr>
        <w:t>34:17–24</w:t>
      </w:r>
      <w:r>
        <w:rPr>
          <w:rtl/>
          <w:cs/>
          <w:lang w:val="ar_AE" w:bidi="ar_AE"/>
        </w:rPr>
        <w:t xml:space="preserve">; </w:t>
      </w:r>
      <w:r>
        <w:rPr>
          <w:rtl/>
          <w:cs/>
          <w:lang w:val="ar_AE" w:bidi="ar_AE"/>
        </w:rPr>
        <w:t>39:23–24</w:t>
      </w:r>
      <w:r>
        <w:rPr>
          <w:rtl/>
          <w:cs/>
          <w:lang w:val="ar_AE" w:bidi="ar_AE"/>
        </w:rPr>
        <w:t xml:space="preserve">; </w:t>
      </w:r>
      <w:r>
        <w:rPr>
          <w:rtl/>
          <w:cs/>
          <w:lang w:val="ar_AE" w:bidi="ar_AE"/>
        </w:rPr>
        <w:t>هوشع 11:1–11</w:t>
      </w:r>
      <w:r>
        <w:rPr>
          <w:rtl/>
          <w:cs/>
          <w:lang w:val="ar_AE" w:bidi="ar_AE"/>
        </w:rPr>
        <w:t xml:space="preserve">; </w:t>
      </w:r>
      <w:r>
        <w:rPr>
          <w:rtl/>
          <w:cs/>
          <w:lang w:val="ar_AE" w:bidi="ar_AE"/>
        </w:rPr>
        <w:t>عاموس 3:2</w:t>
      </w:r>
      <w:r>
        <w:rPr>
          <w:rtl/>
          <w:cs/>
          <w:lang w:val="ar_AE" w:bidi="ar_AE"/>
        </w:rPr>
        <w:t xml:space="preserve">; </w:t>
      </w:r>
      <w:r>
        <w:rPr>
          <w:rtl/>
          <w:cs/>
          <w:lang w:val="ar_AE" w:bidi="ar_AE"/>
        </w:rPr>
        <w:t>متى 25:24–30</w:t>
      </w:r>
      <w:r>
        <w:rPr>
          <w:rtl/>
          <w:cs/>
          <w:lang w:val="ar_AE" w:bidi="ar_AE"/>
        </w:rPr>
        <w:t xml:space="preserve">; </w:t>
      </w:r>
      <w:r>
        <w:rPr>
          <w:rtl/>
          <w:cs/>
          <w:lang w:val="ar_AE" w:bidi="ar_AE"/>
        </w:rPr>
        <w:t>لوقا 12:47–48</w:t>
      </w:r>
      <w:r>
        <w:rPr>
          <w:rtl/>
          <w:cs/>
          <w:lang w:val="ar_AE" w:bidi="ar_AE"/>
        </w:rPr>
        <w:t xml:space="preserve">; </w:t>
      </w:r>
      <w:r>
        <w:rPr>
          <w:rtl/>
          <w:cs/>
          <w:lang w:val="ar_AE" w:bidi="ar_AE"/>
        </w:rPr>
        <w:t>13:6–9</w:t>
      </w:r>
      <w:r>
        <w:rPr>
          <w:rtl/>
          <w:cs/>
          <w:lang w:val="ar_AE" w:bidi="ar_AE"/>
        </w:rPr>
        <w:t xml:space="preserve">; </w:t>
      </w:r>
      <w:r>
        <w:rPr>
          <w:rtl/>
          <w:cs/>
          <w:lang w:val="ar_AE" w:bidi="ar_AE"/>
        </w:rPr>
        <w:t>يوحنا 5:45–47</w:t>
      </w:r>
      <w:r>
        <w:rPr>
          <w:rtl/>
          <w:cs/>
          <w:lang w:val="ar_AE" w:bidi="ar_AE"/>
        </w:rPr>
        <w:t xml:space="preserve">; </w:t>
      </w:r>
      <w:r>
        <w:rPr>
          <w:rtl/>
          <w:cs/>
          <w:lang w:val="ar_AE" w:bidi="ar_AE"/>
        </w:rPr>
        <w:t>رومية 11:5–36</w:t>
      </w:r>
      <w:r>
        <w:rPr>
          <w:rtl/>
          <w:cs/>
          <w:lang w:val="ar_AE" w:bidi="ar_AE"/>
        </w:rPr>
        <w:t xml:space="preserve">; </w:t>
      </w:r>
      <w:r>
        <w:rPr>
          <w:rtl/>
          <w:cs/>
          <w:lang w:val="ar_AE" w:bidi="ar_AE"/>
        </w:rPr>
        <w:t>كولوسي 3:23–25</w:t>
      </w:r>
      <w:r>
        <w:rPr>
          <w:rtl/>
          <w:cs/>
          <w:lang w:val="ar_AE" w:bidi="ar_AE"/>
        </w:rPr>
        <w:t xml:space="preserve">; </w:t>
      </w:r>
      <w:r>
        <w:rPr>
          <w:rtl/>
          <w:cs/>
          <w:lang w:val="ar_AE" w:bidi="ar_AE"/>
        </w:rPr>
        <w:t>عبرانيين 12:25</w:t>
      </w:r>
      <w:r>
        <w:rPr>
          <w:rtl/>
          <w:cs/>
          <w:lang w:val="ar_AE" w:bidi="ar_AE"/>
        </w:rPr>
        <w:t xml:space="preserve">; </w:t>
      </w:r>
      <w:r>
        <w:rPr>
          <w:rtl/>
          <w:cs/>
          <w:lang w:val="ar_AE" w:bidi="ar_AE"/>
        </w:rPr>
        <w:t>يعقوب 2:12–13</w:t>
      </w:r>
      <w:r>
        <w:rPr>
          <w:rtl/>
          <w:cs/>
          <w:lang w:val="ar_AE" w:bidi="ar_AE"/>
        </w:rPr>
        <w:t xml:space="preserve">; </w:t>
      </w:r>
      <w:r>
        <w:rPr>
          <w:rtl/>
          <w:cs/>
          <w:lang w:val="ar_AE" w:bidi="ar_AE"/>
        </w:rPr>
        <w:t>1 بطرس 1:17</w:t>
      </w:r>
      <w:r>
        <w:rPr>
          <w:rtl/>
          <w:cs/>
          <w:lang w:val="ar_AE" w:bidi="ar_AE"/>
        </w:rPr>
        <w:t xml:space="preserve">; </w:t>
      </w:r>
      <w:r>
        <w:rPr>
          <w:rtl/>
          <w:cs/>
          <w:lang w:val="ar_AE" w:bidi="ar_AE"/>
        </w:rPr>
        <w:t>رؤيا 2:1–3:22</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