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الزواج الكتابي</w:t>
      </w:r>
      <w:r>
        <w:rPr>
          <w:rtl/>
          <w:cs/>
          <w:lang w:val="ar_AE" w:bidi="ar_AE"/>
        </w:rPr>
      </w:r>
    </w:p>
    <w:p>
      <w:pPr>
        <w:bidi/>
      </w:pPr>
      <w:r>
        <w:rPr>
          <w:rtl/>
          <w:cs/>
          <w:lang w:val="ar_AE" w:bidi="ar_AE"/>
        </w:rPr>
      </w:r>
      <w:r>
        <w:rPr>
          <w:rtl/>
          <w:cs/>
          <w:lang w:val="ar_AE" w:bidi="ar_AE"/>
        </w:rPr>
        <w:t>تصوِّر روايةُ الخلقِ اللهَ على أنَّه حاضرٌ مع أول اتّحادٍ بشري، وذلك في المكان المقدَّس الذي هو الجنّة (</w:t>
      </w:r>
      <w:r>
        <w:rPr>
          <w:rtl/>
          <w:cs/>
          <w:lang w:val="ar_AE" w:bidi="ar_AE"/>
        </w:rPr>
        <w:t>تكوين 2:18–25</w:t>
      </w:r>
      <w:r>
        <w:rPr>
          <w:rtl/>
          <w:cs/>
          <w:lang w:val="ar_AE" w:bidi="ar_AE"/>
        </w:rPr>
        <w:t xml:space="preserve">). فالزواج الكتابي هو عهد ملزم (اتفاق خاص) أمام الله. انتهاك هذا العهد، مثلًا من خلال الزنا، يُعتبر خطيئة ضد كلا الشخصين وضد الله. فالله هو الشاهد الإلهي الذي يضمن عهد الزواج (انظر </w:t>
      </w:r>
      <w:r>
        <w:rPr>
          <w:rtl/>
          <w:cs/>
          <w:lang w:val="ar_AE" w:bidi="ar_AE"/>
        </w:rPr>
        <w:t>ملاخي 2:10–16</w:t>
      </w:r>
      <w:r>
        <w:rPr>
          <w:rtl/>
          <w:cs/>
          <w:lang w:val="ar_AE" w:bidi="ar_AE"/>
        </w:rPr>
        <w:t xml:space="preserve">; قارن </w:t>
      </w:r>
      <w:r>
        <w:rPr>
          <w:rtl/>
          <w:cs/>
          <w:lang w:val="ar_AE" w:bidi="ar_AE"/>
        </w:rPr>
        <w:t>تكوين 39:6–9</w:t>
      </w:r>
      <w:r>
        <w:rPr>
          <w:rtl/>
          <w:cs/>
          <w:lang w:val="ar_AE" w:bidi="ar_AE"/>
        </w:rPr>
        <w:t xml:space="preserve">; </w:t>
      </w:r>
      <w:r>
        <w:rPr>
          <w:rtl/>
          <w:cs/>
          <w:lang w:val="ar_AE" w:bidi="ar_AE"/>
        </w:rPr>
        <w:t>إرميا 3:1</w:t>
      </w:r>
      <w:r>
        <w:rPr>
          <w:rtl/>
          <w:cs/>
          <w:lang w:val="ar_AE" w:bidi="ar_AE"/>
        </w:rPr>
        <w:t xml:space="preserve">; </w:t>
      </w:r>
      <w:r>
        <w:rPr>
          <w:rtl/>
          <w:cs/>
          <w:lang w:val="ar_AE" w:bidi="ar_AE"/>
        </w:rPr>
        <w:t>1 كورنثوس 6:9–10</w:t>
      </w:r>
      <w:r>
        <w:rPr>
          <w:rtl/>
          <w:cs/>
          <w:lang w:val="ar_AE" w:bidi="ar_AE"/>
        </w:rPr>
        <w:t xml:space="preserve">; </w:t>
      </w:r>
      <w:r>
        <w:rPr>
          <w:rtl/>
          <w:cs/>
          <w:lang w:val="ar_AE" w:bidi="ar_AE"/>
        </w:rPr>
        <w:t>عبرانيين 13:4</w:t>
      </w:r>
      <w:r>
        <w:rPr>
          <w:rtl/>
          <w:cs/>
          <w:lang w:val="ar_AE" w:bidi="ar_AE"/>
        </w:rPr>
        <w:t xml:space="preserve">). على الرغم من أن الزواج يكون بين شخصين فقط، إلا أنه ليس خاصًا. فهو يُعلن علنًا وقانونيًا، مع اعتراف المجتمع، ومع وجود شهود، ومساءلة (انظر </w:t>
      </w:r>
      <w:r>
        <w:rPr>
          <w:rtl/>
          <w:cs/>
          <w:lang w:val="ar_AE" w:bidi="ar_AE"/>
        </w:rPr>
        <w:t>لاويين 20:10–12</w:t>
      </w:r>
      <w:r>
        <w:rPr>
          <w:rtl/>
          <w:cs/>
          <w:lang w:val="ar_AE" w:bidi="ar_AE"/>
        </w:rPr>
        <w:t xml:space="preserve">; </w:t>
      </w:r>
      <w:r>
        <w:rPr>
          <w:rtl/>
          <w:cs/>
          <w:lang w:val="ar_AE" w:bidi="ar_AE"/>
        </w:rPr>
        <w:t>تثنية 22:22</w:t>
      </w:r>
      <w:r>
        <w:rPr>
          <w:rtl/>
          <w:cs/>
          <w:lang w:val="ar_AE" w:bidi="ar_AE"/>
        </w:rPr>
        <w:t xml:space="preserve">; </w:t>
      </w:r>
      <w:r>
        <w:rPr>
          <w:rtl/>
          <w:cs/>
          <w:lang w:val="ar_AE" w:bidi="ar_AE"/>
        </w:rPr>
        <w:t>إرميا 29:20–23</w:t>
      </w:r>
      <w:r>
        <w:rPr>
          <w:rtl/>
          <w:cs/>
          <w:lang w:val="ar_AE" w:bidi="ar_AE"/>
        </w:rPr>
        <w:t>).</w:t>
      </w:r>
    </w:p>
    <w:p>
      <w:pPr>
        <w:bidi/>
      </w:pPr>
      <w:r>
        <w:rPr>
          <w:rtl/>
          <w:cs/>
          <w:lang w:val="ar_AE" w:bidi="ar_AE"/>
        </w:rPr>
      </w:r>
      <w:r>
        <w:rPr>
          <w:rtl/>
          <w:cs/>
          <w:lang w:val="ar_AE" w:bidi="ar_AE"/>
        </w:rPr>
        <w:t xml:space="preserve">الزواج يُعتبر استعارة لعلاقة الرب بشعبه (انظر </w:t>
      </w:r>
      <w:r>
        <w:rPr>
          <w:rtl/>
          <w:cs/>
          <w:lang w:val="ar_AE" w:bidi="ar_AE"/>
        </w:rPr>
        <w:t>خروج 19:3–6</w:t>
      </w:r>
      <w:r>
        <w:rPr>
          <w:rtl/>
          <w:cs/>
          <w:lang w:val="ar_AE" w:bidi="ar_AE"/>
        </w:rPr>
        <w:t xml:space="preserve">; </w:t>
      </w:r>
      <w:r>
        <w:rPr>
          <w:rtl/>
          <w:cs/>
          <w:lang w:val="ar_AE" w:bidi="ar_AE"/>
        </w:rPr>
        <w:t>20:2–6</w:t>
      </w:r>
      <w:r>
        <w:rPr>
          <w:rtl/>
          <w:cs/>
          <w:lang w:val="ar_AE" w:bidi="ar_AE"/>
        </w:rPr>
        <w:t xml:space="preserve">; </w:t>
      </w:r>
      <w:r>
        <w:rPr>
          <w:rtl/>
          <w:cs/>
          <w:lang w:val="ar_AE" w:bidi="ar_AE"/>
        </w:rPr>
        <w:t>34:14</w:t>
      </w:r>
      <w:r>
        <w:rPr>
          <w:rtl/>
          <w:cs/>
          <w:lang w:val="ar_AE" w:bidi="ar_AE"/>
        </w:rPr>
        <w:t xml:space="preserve">; </w:t>
      </w:r>
      <w:r>
        <w:rPr>
          <w:rtl/>
          <w:cs/>
          <w:lang w:val="ar_AE" w:bidi="ar_AE"/>
        </w:rPr>
        <w:t>إشعياء 54:5</w:t>
      </w:r>
      <w:r>
        <w:rPr>
          <w:rtl/>
          <w:cs/>
          <w:lang w:val="ar_AE" w:bidi="ar_AE"/>
        </w:rPr>
        <w:t xml:space="preserve">; </w:t>
      </w:r>
      <w:r>
        <w:rPr>
          <w:rtl/>
          <w:cs/>
          <w:lang w:val="ar_AE" w:bidi="ar_AE"/>
        </w:rPr>
        <w:t>حزقيال 16</w:t>
      </w:r>
      <w:r>
        <w:rPr>
          <w:rtl/>
          <w:cs/>
          <w:lang w:val="ar_AE" w:bidi="ar_AE"/>
        </w:rPr>
        <w:t xml:space="preserve">; </w:t>
      </w:r>
      <w:r>
        <w:rPr>
          <w:rtl/>
          <w:cs/>
          <w:lang w:val="ar_AE" w:bidi="ar_AE"/>
        </w:rPr>
        <w:t>هوشع 2:19–20</w:t>
      </w:r>
      <w:r>
        <w:rPr>
          <w:rtl/>
          <w:cs/>
          <w:lang w:val="ar_AE" w:bidi="ar_AE"/>
        </w:rPr>
        <w:t xml:space="preserve">). في البداية كان استعارة لعلاقته مع شعب إسرائيل ثم لعلاقته مع الكنيسة (انظر </w:t>
      </w:r>
      <w:r>
        <w:rPr>
          <w:rtl/>
          <w:cs/>
          <w:lang w:val="ar_AE" w:bidi="ar_AE"/>
        </w:rPr>
        <w:t>2 كورنثوس 11:2</w:t>
      </w:r>
      <w:r>
        <w:rPr>
          <w:rtl/>
          <w:cs/>
          <w:lang w:val="ar_AE" w:bidi="ar_AE"/>
        </w:rPr>
        <w:t xml:space="preserve">; </w:t>
      </w:r>
      <w:r>
        <w:rPr>
          <w:rtl/>
          <w:cs/>
          <w:lang w:val="ar_AE" w:bidi="ar_AE"/>
        </w:rPr>
        <w:t>أفسس 5:21–33</w:t>
      </w:r>
      <w:r>
        <w:rPr>
          <w:rtl/>
          <w:cs/>
          <w:lang w:val="ar_AE" w:bidi="ar_AE"/>
        </w:rPr>
        <w:t>). يرمز الزواج إلى شيء أعظم. شعب الله (عروس المسيح) ينتظرون عودة المسيح (العريس). ينبغي على المسيحيين المتزوجين أن يعيشوا في وحدة وكرامة، وهم يتطلعون إلى "عرس الحمل" (</w:t>
      </w:r>
      <w:r>
        <w:rPr>
          <w:rtl/>
          <w:cs/>
          <w:lang w:val="ar_AE" w:bidi="ar_AE"/>
        </w:rPr>
        <w:t>رؤيا 19:6–9</w:t>
      </w:r>
      <w:r>
        <w:rPr>
          <w:rtl/>
          <w:cs/>
          <w:lang w:val="ar_AE" w:bidi="ar_AE"/>
        </w:rPr>
        <w:t>). سيعيش المسيح إلى الأبد مع شعبه الأمين في المجد (</w:t>
      </w:r>
      <w:r>
        <w:rPr>
          <w:rtl/>
          <w:cs/>
          <w:lang w:val="ar_AE" w:bidi="ar_AE"/>
        </w:rPr>
        <w:t>رؤيا 19:7</w:t>
      </w:r>
      <w:r>
        <w:rPr>
          <w:rtl/>
          <w:cs/>
          <w:lang w:val="ar_AE" w:bidi="ar_AE"/>
        </w:rPr>
        <w:t xml:space="preserve">; </w:t>
      </w:r>
      <w:r>
        <w:rPr>
          <w:rtl/>
          <w:cs/>
          <w:lang w:val="ar_AE" w:bidi="ar_AE"/>
        </w:rPr>
        <w:t>21:2</w:t>
      </w:r>
      <w:r>
        <w:rPr>
          <w:rtl/>
          <w:cs/>
          <w:lang w:val="ar_AE" w:bidi="ar_AE"/>
        </w:rPr>
        <w:t xml:space="preserve">, </w:t>
      </w:r>
      <w:r>
        <w:rPr>
          <w:rtl/>
          <w:cs/>
          <w:lang w:val="ar_AE" w:bidi="ar_AE"/>
        </w:rPr>
        <w:t>9</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2:18–25</w:t>
      </w:r>
      <w:r>
        <w:rPr>
          <w:rtl/>
          <w:cs/>
          <w:lang w:val="ar_AE" w:bidi="ar_AE"/>
        </w:rPr>
        <w:t xml:space="preserve">; </w:t>
      </w:r>
      <w:r>
        <w:rPr>
          <w:rtl/>
          <w:cs/>
          <w:lang w:val="ar_AE" w:bidi="ar_AE"/>
        </w:rPr>
        <w:t>24:65–67</w:t>
      </w:r>
      <w:r>
        <w:rPr>
          <w:rtl/>
          <w:cs/>
          <w:lang w:val="ar_AE" w:bidi="ar_AE"/>
        </w:rPr>
        <w:t xml:space="preserve">; </w:t>
      </w:r>
      <w:r>
        <w:rPr>
          <w:rtl/>
          <w:cs/>
          <w:lang w:val="ar_AE" w:bidi="ar_AE"/>
        </w:rPr>
        <w:t>مزمور 45:8–15</w:t>
      </w:r>
      <w:r>
        <w:rPr>
          <w:rtl/>
          <w:cs/>
          <w:lang w:val="ar_AE" w:bidi="ar_AE"/>
        </w:rPr>
        <w:t xml:space="preserve">; </w:t>
      </w:r>
      <w:r>
        <w:rPr>
          <w:rtl/>
          <w:cs/>
          <w:lang w:val="ar_AE" w:bidi="ar_AE"/>
        </w:rPr>
        <w:t>إشعياء 54:5</w:t>
      </w:r>
      <w:r>
        <w:rPr>
          <w:rtl/>
          <w:cs/>
          <w:lang w:val="ar_AE" w:bidi="ar_AE"/>
        </w:rPr>
        <w:t xml:space="preserve">; </w:t>
      </w:r>
      <w:r>
        <w:rPr>
          <w:rtl/>
          <w:cs/>
          <w:lang w:val="ar_AE" w:bidi="ar_AE"/>
        </w:rPr>
        <w:t>هوشع 2:19–20</w:t>
      </w:r>
      <w:r>
        <w:rPr>
          <w:rtl/>
          <w:cs/>
          <w:lang w:val="ar_AE" w:bidi="ar_AE"/>
        </w:rPr>
        <w:t xml:space="preserve">; </w:t>
      </w:r>
      <w:r>
        <w:rPr>
          <w:rtl/>
          <w:cs/>
          <w:lang w:val="ar_AE" w:bidi="ar_AE"/>
        </w:rPr>
        <w:t>ملاخي 2:10–16</w:t>
      </w:r>
      <w:r>
        <w:rPr>
          <w:rtl/>
          <w:cs/>
          <w:lang w:val="ar_AE" w:bidi="ar_AE"/>
        </w:rPr>
        <w:t xml:space="preserve">; </w:t>
      </w:r>
      <w:r>
        <w:rPr>
          <w:rtl/>
          <w:cs/>
          <w:lang w:val="ar_AE" w:bidi="ar_AE"/>
        </w:rPr>
        <w:t>1 كورنثوس 7:1–40</w:t>
      </w:r>
      <w:r>
        <w:rPr>
          <w:rtl/>
          <w:cs/>
          <w:lang w:val="ar_AE" w:bidi="ar_AE"/>
        </w:rPr>
        <w:t xml:space="preserve">; </w:t>
      </w:r>
      <w:r>
        <w:rPr>
          <w:rtl/>
          <w:cs/>
          <w:lang w:val="ar_AE" w:bidi="ar_AE"/>
        </w:rPr>
        <w:t>2 كورنثوس 6:14–16</w:t>
      </w:r>
      <w:r>
        <w:rPr>
          <w:rtl/>
          <w:cs/>
          <w:lang w:val="ar_AE" w:bidi="ar_AE"/>
        </w:rPr>
        <w:t xml:space="preserve">; </w:t>
      </w:r>
      <w:r>
        <w:rPr>
          <w:rtl/>
          <w:cs/>
          <w:lang w:val="ar_AE" w:bidi="ar_AE"/>
        </w:rPr>
        <w:t>أفسس 5:21–33</w:t>
      </w:r>
      <w:r>
        <w:rPr>
          <w:rtl/>
          <w:cs/>
          <w:lang w:val="ar_AE" w:bidi="ar_AE"/>
        </w:rPr>
        <w:t xml:space="preserve">; </w:t>
      </w:r>
      <w:r>
        <w:rPr>
          <w:rtl/>
          <w:cs/>
          <w:lang w:val="ar_AE" w:bidi="ar_AE"/>
        </w:rPr>
        <w:t>عبرانيين 13:4</w:t>
      </w:r>
      <w:r>
        <w:rPr>
          <w:rtl/>
          <w:cs/>
          <w:lang w:val="ar_AE" w:bidi="ar_AE"/>
        </w:rPr>
        <w:t xml:space="preserve">; </w:t>
      </w:r>
      <w:r>
        <w:rPr>
          <w:rtl/>
          <w:cs/>
          <w:lang w:val="ar_AE" w:bidi="ar_AE"/>
        </w:rPr>
        <w:t>1 بطرس 3:1–7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الزواج والجنس</w:t>
      </w:r>
      <w:r>
        <w:rPr>
          <w:rtl/>
          <w:cs/>
          <w:lang w:val="ar_AE" w:bidi="ar_AE"/>
        </w:rPr>
      </w:r>
    </w:p>
    <w:p>
      <w:pPr>
        <w:bidi/>
      </w:pPr>
      <w:r>
        <w:rPr>
          <w:rtl/>
          <w:cs/>
          <w:lang w:val="ar_AE" w:bidi="ar_AE"/>
        </w:rPr>
      </w:r>
      <w:r>
        <w:rPr>
          <w:rtl/>
          <w:cs/>
          <w:lang w:val="ar_AE" w:bidi="ar_AE"/>
        </w:rPr>
        <w:t>يعتبر الكتاب المقدس الزواج مقدسًا منذ البداية، ويُعد التعبير الجنسي جزءًا مهمًا منه (</w:t>
      </w:r>
      <w:r>
        <w:rPr>
          <w:rtl/>
          <w:cs/>
          <w:lang w:val="ar_AE" w:bidi="ar_AE"/>
        </w:rPr>
        <w:t>تكوين 2:23–25</w:t>
      </w:r>
      <w:r>
        <w:rPr>
          <w:rtl/>
          <w:cs/>
          <w:lang w:val="ar_AE" w:bidi="ar_AE"/>
        </w:rPr>
        <w:t>). تسببت الخطية البشرية الأولى في حدوث اضطراب في جميع العلاقات، أولاً بين الله والبشر، ثم بين الرجل وزوجته، وحتى بين الإنسان والخليقة (</w:t>
      </w:r>
      <w:r>
        <w:rPr>
          <w:rtl/>
          <w:cs/>
          <w:lang w:val="ar_AE" w:bidi="ar_AE"/>
        </w:rPr>
        <w:t>تكوين 3</w:t>
      </w:r>
      <w:r>
        <w:rPr>
          <w:rtl/>
          <w:cs/>
          <w:lang w:val="ar_AE" w:bidi="ar_AE"/>
        </w:rPr>
        <w:t>). ظهر الانقسام بين آدم وحواء في شعورهما باختلاف نوعهما جنسيًا، فلم يعدا بإمكانهما أن يكونا عراة في الجنة دون أن يشعرا بالخجل.</w:t>
      </w:r>
    </w:p>
    <w:p>
      <w:pPr>
        <w:bidi/>
      </w:pPr>
      <w:r>
        <w:rPr>
          <w:rtl/>
          <w:cs/>
          <w:lang w:val="ar_AE" w:bidi="ar_AE"/>
        </w:rPr>
      </w:r>
      <w:r>
        <w:rPr>
          <w:rtl/>
          <w:cs/>
          <w:lang w:val="ar_AE" w:bidi="ar_AE"/>
        </w:rPr>
        <w:t>في سفر الأمثال، ينصح المعلم الحكيم الشباب غالبًا بتجنب الإغراءات الجنسية خارج إطار الزواج (</w:t>
      </w:r>
      <w:r>
        <w:rPr>
          <w:rtl/>
          <w:cs/>
          <w:lang w:val="ar_AE" w:bidi="ar_AE"/>
        </w:rPr>
        <w:t>الأمثال 2:16–22</w:t>
      </w:r>
      <w:r>
        <w:rPr>
          <w:rtl/>
          <w:cs/>
          <w:lang w:val="ar_AE" w:bidi="ar_AE"/>
        </w:rPr>
        <w:t xml:space="preserve">؛ </w:t>
      </w:r>
      <w:r>
        <w:rPr>
          <w:rtl/>
          <w:cs/>
          <w:lang w:val="ar_AE" w:bidi="ar_AE"/>
        </w:rPr>
        <w:t>5:1–23</w:t>
      </w:r>
      <w:r>
        <w:rPr>
          <w:rtl/>
          <w:cs/>
          <w:lang w:val="ar_AE" w:bidi="ar_AE"/>
        </w:rPr>
        <w:t xml:space="preserve">؛ </w:t>
      </w:r>
      <w:r>
        <w:rPr>
          <w:rtl/>
          <w:cs/>
          <w:lang w:val="ar_AE" w:bidi="ar_AE"/>
        </w:rPr>
        <w:t>6:20–7:27</w:t>
      </w:r>
      <w:r>
        <w:rPr>
          <w:rtl/>
          <w:cs/>
          <w:lang w:val="ar_AE" w:bidi="ar_AE"/>
        </w:rPr>
        <w:t>). وعلى الرغم من أن الشاب قد يجد نساء أخريات جذابات، إلا أن الانجراف وراء هذه الإغراءات يمكن أن يؤدي إلى عواقب وخيمة، فقد تتعرض أهدافه العائلية والمهنية للتدمير. ولهذا يشجّع سفر الأمثال الرجال ببناء علاقة قوية مع زوجاتهم. كما يشجع الكتاب المقدس الرجال أن تكون علاقتهم الزوجية صحّية بدلاً من الانخراط وراء علاقات أخرى (</w:t>
      </w:r>
      <w:r>
        <w:rPr>
          <w:rtl/>
          <w:cs/>
          <w:lang w:val="ar_AE" w:bidi="ar_AE"/>
        </w:rPr>
        <w:t>5:15–20</w:t>
      </w:r>
      <w:r>
        <w:rPr>
          <w:rtl/>
          <w:cs/>
          <w:lang w:val="ar_AE" w:bidi="ar_AE"/>
        </w:rPr>
        <w:t>).</w:t>
      </w:r>
    </w:p>
    <w:p>
      <w:pPr>
        <w:bidi/>
      </w:pPr>
      <w:r>
        <w:rPr>
          <w:rtl/>
          <w:cs/>
          <w:lang w:val="ar_AE" w:bidi="ar_AE"/>
        </w:rPr>
      </w:r>
      <w:r>
        <w:rPr>
          <w:rtl/>
          <w:cs/>
          <w:lang w:val="ar_AE" w:bidi="ar_AE"/>
        </w:rPr>
        <w:t>رغم أن هذا الجزء من سفر الأمثال كُتب في الأساس لتعليم الشباب، إلا أن الجميع يمكنهم التأمل في هذه القضايا المتعلقة بالزواج والجنس. يشجّعنا سفر الأمثال على إدراك قُدسية وجمال المحبة الزوجية، كما أرادها الله، الخالق الحكيم.</w:t>
      </w:r>
    </w:p>
    <w:p>
      <w:pPr>
        <w:bidi/>
      </w:pPr>
      <w:r>
        <w:rPr>
          <w:rtl/>
          <w:cs/>
          <w:lang w:val="ar_AE" w:bidi="ar_AE"/>
        </w:rPr>
      </w:r>
      <w:r>
        <w:rPr>
          <w:rtl/>
          <w:cs/>
          <w:lang w:val="ar_AE" w:bidi="ar_AE"/>
        </w:rPr>
        <w:t xml:space="preserve">يؤكد العهد الجديد أيضًا على قُدسية العلاقة الجنسية، وأن التعبير الصحيح عنها يكون داخل إطار الزواج. يشير يسوع إلى قصة الخليقة في سفر التكوين ليؤكد قصد الله في أن يدوم الزواج. فبعد أن اقتبس من </w:t>
      </w:r>
      <w:r>
        <w:rPr>
          <w:rtl/>
          <w:cs/>
          <w:lang w:val="ar_AE" w:bidi="ar_AE"/>
        </w:rPr>
        <w:t>تكوين 2:24</w:t>
      </w:r>
      <w:r>
        <w:rPr>
          <w:rtl/>
          <w:cs/>
          <w:lang w:val="ar_AE" w:bidi="ar_AE"/>
        </w:rPr>
        <w:t>، قال: "</w:t>
      </w:r>
      <w:r>
        <w:rPr>
          <w:rtl/>
          <w:cs/>
          <w:lang w:val="ar_AE" w:bidi="ar_AE"/>
        </w:rPr>
        <w:t>إِذًا لَيْسَا بَعْدُ ٱثْنَيْنِ بَلْ جَسَدٌ وَاحِدٌ. فَٱلَّذِي جَمَعَهُ ٱللهُ لَا يُفَرِّقُهُ إِنْسَانٌ</w:t>
      </w:r>
      <w:r>
        <w:rPr>
          <w:rtl/>
          <w:cs/>
          <w:lang w:val="ar_AE" w:bidi="ar_AE"/>
        </w:rPr>
        <w:t>" (</w:t>
      </w:r>
      <w:r>
        <w:rPr>
          <w:rtl/>
          <w:cs/>
          <w:lang w:val="ar_AE" w:bidi="ar_AE"/>
        </w:rPr>
        <w:t>متّى 19:3–6</w:t>
      </w:r>
      <w:r>
        <w:rPr>
          <w:rtl/>
          <w:cs/>
          <w:lang w:val="ar_AE" w:bidi="ar_AE"/>
        </w:rPr>
        <w:t>). ويتحدث الرسول بولس عن أهمية الحفاظ على العلاقة الجسدية بين الزوجين لتجنّب الإغراء من إبليس (</w:t>
      </w:r>
      <w:r>
        <w:rPr>
          <w:rtl/>
          <w:cs/>
          <w:lang w:val="ar_AE" w:bidi="ar_AE"/>
        </w:rPr>
        <w:t>1 كورنثوس 7:3–5</w:t>
      </w:r>
      <w:r>
        <w:rPr>
          <w:rtl/>
          <w:cs/>
          <w:lang w:val="ar_AE" w:bidi="ar_AE"/>
        </w:rPr>
        <w:t xml:space="preserve">). يريد الله من الذين يتزوجون أن يكونوا أمناء لبعضهم البعض، وأن يبتعدوا عن أي ممارسات جنسية تضر بالعلاقة المقدسة بينهما (انظر </w:t>
      </w:r>
      <w:r>
        <w:rPr>
          <w:rtl/>
          <w:cs/>
          <w:lang w:val="ar_AE" w:bidi="ar_AE"/>
        </w:rPr>
        <w:t>عبرانيين 13:4</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٢:١٨–٢٥</w:t>
      </w:r>
      <w:r>
        <w:rPr>
          <w:rtl/>
          <w:cs/>
          <w:lang w:val="ar_AE" w:bidi="ar_AE"/>
        </w:rPr>
        <w:t xml:space="preserve">; </w:t>
      </w:r>
      <w:r>
        <w:rPr>
          <w:rtl/>
          <w:cs/>
          <w:lang w:val="ar_AE" w:bidi="ar_AE"/>
        </w:rPr>
        <w:t>أمثال ٢:١٦–٢٢</w:t>
      </w:r>
      <w:r>
        <w:rPr>
          <w:rtl/>
          <w:cs/>
          <w:lang w:val="ar_AE" w:bidi="ar_AE"/>
        </w:rPr>
        <w:t xml:space="preserve">; </w:t>
      </w:r>
      <w:r>
        <w:rPr>
          <w:rtl/>
          <w:cs/>
          <w:lang w:val="ar_AE" w:bidi="ar_AE"/>
        </w:rPr>
        <w:t>٥:١٥–٢٠</w:t>
      </w:r>
      <w:r>
        <w:rPr>
          <w:rtl/>
          <w:cs/>
          <w:lang w:val="ar_AE" w:bidi="ar_AE"/>
        </w:rPr>
        <w:t xml:space="preserve">; </w:t>
      </w:r>
      <w:r>
        <w:rPr>
          <w:rtl/>
          <w:cs/>
          <w:lang w:val="ar_AE" w:bidi="ar_AE"/>
        </w:rPr>
        <w:t>٦:٢٠–٣٥</w:t>
      </w:r>
      <w:r>
        <w:rPr>
          <w:rtl/>
          <w:cs/>
          <w:lang w:val="ar_AE" w:bidi="ar_AE"/>
        </w:rPr>
        <w:t xml:space="preserve">; </w:t>
      </w:r>
      <w:r>
        <w:rPr>
          <w:rtl/>
          <w:cs/>
          <w:lang w:val="ar_AE" w:bidi="ar_AE"/>
        </w:rPr>
        <w:t>٧:١–٢٧</w:t>
      </w:r>
      <w:r>
        <w:rPr>
          <w:rtl/>
          <w:cs/>
          <w:lang w:val="ar_AE" w:bidi="ar_AE"/>
        </w:rPr>
        <w:t xml:space="preserve">; </w:t>
      </w:r>
      <w:r>
        <w:rPr>
          <w:rtl/>
          <w:cs/>
          <w:lang w:val="ar_AE" w:bidi="ar_AE"/>
        </w:rPr>
        <w:t>إرميا ٥:٧–١١</w:t>
      </w:r>
      <w:r>
        <w:rPr>
          <w:rtl/>
          <w:cs/>
          <w:lang w:val="ar_AE" w:bidi="ar_AE"/>
        </w:rPr>
        <w:t xml:space="preserve">; </w:t>
      </w:r>
      <w:r>
        <w:rPr>
          <w:rtl/>
          <w:cs/>
          <w:lang w:val="ar_AE" w:bidi="ar_AE"/>
        </w:rPr>
        <w:t>هوشع ٢:٢٠</w:t>
      </w:r>
      <w:r>
        <w:rPr>
          <w:rtl/>
          <w:cs/>
          <w:lang w:val="ar_AE" w:bidi="ar_AE"/>
        </w:rPr>
        <w:t xml:space="preserve">; </w:t>
      </w:r>
      <w:r>
        <w:rPr>
          <w:rtl/>
          <w:cs/>
          <w:lang w:val="ar_AE" w:bidi="ar_AE"/>
        </w:rPr>
        <w:t>ملاخي ٢:١٤–١٦</w:t>
      </w:r>
      <w:r>
        <w:rPr>
          <w:rtl/>
          <w:cs/>
          <w:lang w:val="ar_AE" w:bidi="ar_AE"/>
        </w:rPr>
        <w:t xml:space="preserve">; </w:t>
      </w:r>
      <w:r>
        <w:rPr>
          <w:rtl/>
          <w:cs/>
          <w:lang w:val="ar_AE" w:bidi="ar_AE"/>
        </w:rPr>
        <w:t>متى ١٩:٤–٦</w:t>
      </w:r>
      <w:r>
        <w:rPr>
          <w:rtl/>
          <w:cs/>
          <w:lang w:val="ar_AE" w:bidi="ar_AE"/>
        </w:rPr>
        <w:t xml:space="preserve">; </w:t>
      </w:r>
      <w:r>
        <w:rPr>
          <w:rtl/>
          <w:cs/>
          <w:lang w:val="ar_AE" w:bidi="ar_AE"/>
        </w:rPr>
        <w:t>٢٢:٣٠</w:t>
      </w:r>
      <w:r>
        <w:rPr>
          <w:rtl/>
          <w:cs/>
          <w:lang w:val="ar_AE" w:bidi="ar_AE"/>
        </w:rPr>
        <w:t xml:space="preserve">; </w:t>
      </w:r>
      <w:r>
        <w:rPr>
          <w:rtl/>
          <w:cs/>
          <w:lang w:val="ar_AE" w:bidi="ar_AE"/>
        </w:rPr>
        <w:t>١ كورنثوس ٦:١٥–٢٠</w:t>
      </w:r>
      <w:r>
        <w:rPr>
          <w:rtl/>
          <w:cs/>
          <w:lang w:val="ar_AE" w:bidi="ar_AE"/>
        </w:rPr>
        <w:t xml:space="preserve">; </w:t>
      </w:r>
      <w:r>
        <w:rPr>
          <w:rtl/>
          <w:cs/>
          <w:lang w:val="ar_AE" w:bidi="ar_AE"/>
        </w:rPr>
        <w:t>عبرانيين ١٣:٤</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