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(Themes)</w:t>
      </w:r>
      <w:r>
        <w:rPr>
          <w:rtl/>
          <w:cs/>
          <w:lang w:val="ar_AE" w:bidi="ar_AE"/>
        </w:rPr>
      </w:r>
    </w:p>
    <w:p>
      <w:pPr>
        <w:bidi/>
      </w:pPr>
      <w:r>
        <w:rPr>
          <w:rtl/>
          <w:cs/>
          <w:lang w:val="ar_AE" w:bidi="ar_AE"/>
        </w:rPr>
      </w:r>
      <w:r>
        <w:rPr>
          <w:b/>
          <w:rtl/>
          <w:cs/>
          <w:lang w:val="ar_AE" w:bidi="ar_AE"/>
        </w:rPr>
        <w:t>Aquifer Open Study Notes (Themes)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ج</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جمال الطبيعة</w:t>
      </w:r>
      <w:r>
        <w:rPr>
          <w:rtl/>
          <w:cs/>
          <w:lang w:val="ar_AE" w:bidi="ar_AE"/>
        </w:rPr>
      </w:r>
    </w:p>
    <w:p>
      <w:pPr>
        <w:bidi/>
      </w:pPr>
      <w:r>
        <w:rPr>
          <w:rtl/>
          <w:cs/>
          <w:lang w:val="ar_AE" w:bidi="ar_AE"/>
        </w:rPr>
      </w:r>
      <w:r>
        <w:rPr>
          <w:rtl/>
          <w:cs/>
          <w:lang w:val="ar_AE" w:bidi="ar_AE"/>
        </w:rPr>
        <w:t>في نهاية عمل الله في الخلق، قال أن كل ما صنعه "</w:t>
      </w:r>
      <w:r>
        <w:rPr>
          <w:rtl/>
          <w:cs/>
          <w:lang w:val="ar_AE" w:bidi="ar_AE"/>
        </w:rPr>
        <w:t>حَسَنٌ جِدًّا.</w:t>
      </w:r>
      <w:r>
        <w:rPr>
          <w:rtl/>
          <w:cs/>
          <w:lang w:val="ar_AE" w:bidi="ar_AE"/>
        </w:rPr>
        <w:t>" (</w:t>
      </w:r>
      <w:r>
        <w:rPr>
          <w:rtl/>
          <w:cs/>
          <w:lang w:val="ar_AE" w:bidi="ar_AE"/>
        </w:rPr>
        <w:t>تكوين 1:31</w:t>
      </w:r>
      <w:r>
        <w:rPr>
          <w:rtl/>
          <w:cs/>
          <w:lang w:val="ar_AE" w:bidi="ar_AE"/>
        </w:rPr>
        <w:t xml:space="preserve">). والكتاب المقدس يتحدث كثيرًا عن جمال وعظمة خلق الله، خاصة في المزامير ( انظر مثلًا، </w:t>
      </w:r>
      <w:r>
        <w:rPr>
          <w:rtl/>
          <w:cs/>
          <w:lang w:val="ar_AE" w:bidi="ar_AE"/>
        </w:rPr>
        <w:t>مزمور 8:3–4</w:t>
      </w:r>
      <w:r>
        <w:rPr>
          <w:rtl/>
          <w:cs/>
          <w:lang w:val="ar_AE" w:bidi="ar_AE"/>
        </w:rPr>
        <w:t xml:space="preserve">؛ </w:t>
      </w:r>
      <w:r>
        <w:rPr>
          <w:rtl/>
          <w:cs/>
          <w:lang w:val="ar_AE" w:bidi="ar_AE"/>
        </w:rPr>
        <w:t>مزمور 104:1–35</w:t>
      </w:r>
      <w:r>
        <w:rPr>
          <w:rtl/>
          <w:cs/>
          <w:lang w:val="ar_AE" w:bidi="ar_AE"/>
        </w:rPr>
        <w:t>).</w:t>
      </w:r>
    </w:p>
    <w:p>
      <w:pPr>
        <w:bidi/>
      </w:pPr>
      <w:r>
        <w:rPr>
          <w:rtl/>
          <w:cs/>
          <w:lang w:val="ar_AE" w:bidi="ar_AE"/>
        </w:rPr>
      </w:r>
      <w:r>
        <w:rPr>
          <w:rtl/>
          <w:cs/>
          <w:lang w:val="ar_AE" w:bidi="ar_AE"/>
        </w:rPr>
        <w:t>في سفر نشيد الأنشاد، تلعب الطبيعة وصورها دورًا هامًا. فكثيرًا ما يُعبر الرجل والمرأة عن حبهما في الريف وسط الطبيعة (</w:t>
      </w:r>
      <w:r>
        <w:rPr>
          <w:rtl/>
          <w:cs/>
          <w:lang w:val="ar_AE" w:bidi="ar_AE"/>
        </w:rPr>
        <w:t>نشيد الأنشاد 2:8–17</w:t>
      </w:r>
      <w:r>
        <w:rPr>
          <w:rtl/>
          <w:cs/>
          <w:lang w:val="ar_AE" w:bidi="ar_AE"/>
        </w:rPr>
        <w:t xml:space="preserve">; </w:t>
      </w:r>
      <w:r>
        <w:rPr>
          <w:rtl/>
          <w:cs/>
          <w:lang w:val="ar_AE" w:bidi="ar_AE"/>
        </w:rPr>
        <w:t>4:12–5:1</w:t>
      </w:r>
      <w:r>
        <w:rPr>
          <w:rtl/>
          <w:cs/>
          <w:lang w:val="ar_AE" w:bidi="ar_AE"/>
        </w:rPr>
        <w:t xml:space="preserve">; </w:t>
      </w:r>
      <w:r>
        <w:rPr>
          <w:rtl/>
          <w:cs/>
          <w:lang w:val="ar_AE" w:bidi="ar_AE"/>
        </w:rPr>
        <w:t>6:2–3</w:t>
      </w:r>
      <w:r>
        <w:rPr>
          <w:rtl/>
          <w:cs/>
          <w:lang w:val="ar_AE" w:bidi="ar_AE"/>
        </w:rPr>
        <w:t xml:space="preserve">, </w:t>
      </w:r>
      <w:r>
        <w:rPr>
          <w:rtl/>
          <w:cs/>
          <w:lang w:val="ar_AE" w:bidi="ar_AE"/>
        </w:rPr>
        <w:t>11–12</w:t>
      </w:r>
      <w:r>
        <w:rPr>
          <w:rtl/>
          <w:cs/>
          <w:lang w:val="ar_AE" w:bidi="ar_AE"/>
        </w:rPr>
        <w:t>). فالريف يتميز بالروائح الطيبة والأماكن الخاصة. والحدائق والكرم والبساتين تخلق أجواءً حميمة ورومانسية. فغموض الطبيعة يمنحهم مشهدًا بسيطًا، مع كونه غير مألوف ولكنه مثير لمشاعر الحب.</w:t>
      </w:r>
    </w:p>
    <w:p>
      <w:pPr>
        <w:bidi/>
      </w:pPr>
      <w:r>
        <w:rPr>
          <w:rtl/>
          <w:cs/>
          <w:lang w:val="ar_AE" w:bidi="ar_AE"/>
        </w:rPr>
      </w:r>
      <w:r>
        <w:rPr>
          <w:rtl/>
          <w:cs/>
          <w:lang w:val="ar_AE" w:bidi="ar_AE"/>
        </w:rPr>
        <w:t>يستخدم الحبيبين صورًا من الطبيعة لوصف ملامح بعضهما وتأثيرهما على بعض. هذا الوصف يقودهم لاستخدام تشبيهات مستوحاة من خليقة الله.</w:t>
      </w:r>
    </w:p>
    <w:p>
      <w:pPr>
        <w:bidi/>
      </w:pPr>
      <w:r>
        <w:rPr>
          <w:rtl/>
          <w:cs/>
          <w:lang w:val="ar_AE" w:bidi="ar_AE"/>
        </w:rPr>
      </w:r>
      <w:r>
        <w:rPr>
          <w:rtl/>
          <w:cs/>
          <w:lang w:val="ar_AE" w:bidi="ar_AE"/>
        </w:rPr>
        <w:t xml:space="preserve">فالطبيعة توجه الناس إلى الخالق، وتُعطى أدلة على قوته وصلاحه وعدله ومحبته (انظر </w:t>
      </w:r>
      <w:r>
        <w:rPr>
          <w:rtl/>
          <w:cs/>
          <w:lang w:val="ar_AE" w:bidi="ar_AE"/>
        </w:rPr>
        <w:t>مزمور 19:1–4</w:t>
      </w:r>
      <w:r>
        <w:rPr>
          <w:rtl/>
          <w:cs/>
          <w:lang w:val="ar_AE" w:bidi="ar_AE"/>
        </w:rPr>
        <w:t xml:space="preserve">؛ </w:t>
      </w:r>
      <w:r>
        <w:rPr>
          <w:rtl/>
          <w:cs/>
          <w:lang w:val="ar_AE" w:bidi="ar_AE"/>
        </w:rPr>
        <w:t>رومية 1:18–20</w:t>
      </w:r>
      <w:r>
        <w:rPr>
          <w:rtl/>
          <w:cs/>
          <w:lang w:val="ar_AE" w:bidi="ar_AE"/>
        </w:rPr>
        <w:t>). وأيضًا في جمال الطبيعة من تغير الفصول، ونمو النباتات، وولادة الأطفال، نري رموزًا لرغبة الله في الفداء والاسترداد والخليقة الجديدة.</w:t>
      </w:r>
    </w:p>
    <w:p>
      <w:pPr>
        <w:bidi/>
      </w:pPr>
      <w:r>
        <w:rPr>
          <w:rtl/>
          <w:cs/>
          <w:lang w:val="ar_AE" w:bidi="ar_AE"/>
        </w:rPr>
      </w:r>
      <w:r>
        <w:rPr>
          <w:u w:val="single"/>
          <w:rtl/>
          <w:cs/>
          <w:lang w:val="ar_AE" w:bidi="ar_AE"/>
        </w:rPr>
        <w:t>نصوص للدراسة الاضافية</w:t>
      </w:r>
    </w:p>
    <w:p>
      <w:pPr>
        <w:bidi/>
      </w:pPr>
      <w:r>
        <w:rPr>
          <w:rtl/>
          <w:cs/>
          <w:lang w:val="ar_AE" w:bidi="ar_AE"/>
        </w:rPr>
      </w:r>
      <w:r>
        <w:rPr>
          <w:rtl/>
          <w:cs/>
          <w:lang w:val="ar_AE" w:bidi="ar_AE"/>
        </w:rPr>
        <w:t>تكوين 2:1–9</w:t>
      </w:r>
      <w:r>
        <w:rPr>
          <w:rtl/>
          <w:cs/>
          <w:lang w:val="ar_AE" w:bidi="ar_AE"/>
        </w:rPr>
        <w:t xml:space="preserve">; </w:t>
      </w:r>
      <w:r>
        <w:rPr>
          <w:rtl/>
          <w:cs/>
          <w:lang w:val="ar_AE" w:bidi="ar_AE"/>
        </w:rPr>
        <w:t>مزامير 8:3–8</w:t>
      </w:r>
      <w:r>
        <w:rPr>
          <w:rtl/>
          <w:cs/>
          <w:lang w:val="ar_AE" w:bidi="ar_AE"/>
        </w:rPr>
        <w:t xml:space="preserve">; </w:t>
      </w:r>
      <w:r>
        <w:rPr>
          <w:rtl/>
          <w:cs/>
          <w:lang w:val="ar_AE" w:bidi="ar_AE"/>
        </w:rPr>
        <w:t>19:1–6</w:t>
      </w:r>
      <w:r>
        <w:rPr>
          <w:rtl/>
          <w:cs/>
          <w:lang w:val="ar_AE" w:bidi="ar_AE"/>
        </w:rPr>
        <w:t xml:space="preserve">; </w:t>
      </w:r>
      <w:r>
        <w:rPr>
          <w:rtl/>
          <w:cs/>
          <w:lang w:val="ar_AE" w:bidi="ar_AE"/>
        </w:rPr>
        <w:t>96:5–6</w:t>
      </w:r>
      <w:r>
        <w:rPr>
          <w:rtl/>
          <w:cs/>
          <w:lang w:val="ar_AE" w:bidi="ar_AE"/>
        </w:rPr>
        <w:t xml:space="preserve">; </w:t>
      </w:r>
      <w:r>
        <w:rPr>
          <w:rtl/>
          <w:cs/>
          <w:lang w:val="ar_AE" w:bidi="ar_AE"/>
        </w:rPr>
        <w:t>نشيد الأنشاد 2:8–17</w:t>
      </w:r>
      <w:r>
        <w:rPr>
          <w:rtl/>
          <w:cs/>
          <w:lang w:val="ar_AE" w:bidi="ar_AE"/>
        </w:rPr>
        <w:t xml:space="preserve">; </w:t>
      </w:r>
      <w:r>
        <w:rPr>
          <w:rtl/>
          <w:cs/>
          <w:lang w:val="ar_AE" w:bidi="ar_AE"/>
        </w:rPr>
        <w:t>4:12–5:1</w:t>
      </w:r>
      <w:r>
        <w:rPr>
          <w:rtl/>
          <w:cs/>
          <w:lang w:val="ar_AE" w:bidi="ar_AE"/>
        </w:rPr>
        <w:t xml:space="preserve">; </w:t>
      </w:r>
      <w:r>
        <w:rPr>
          <w:rtl/>
          <w:cs/>
          <w:lang w:val="ar_AE" w:bidi="ar_AE"/>
        </w:rPr>
        <w:t>6:2–3</w:t>
      </w:r>
      <w:r>
        <w:rPr>
          <w:rtl/>
          <w:cs/>
          <w:lang w:val="ar_AE" w:bidi="ar_AE"/>
        </w:rPr>
        <w:t xml:space="preserve">, </w:t>
      </w:r>
      <w:r>
        <w:rPr>
          <w:rtl/>
          <w:cs/>
          <w:lang w:val="ar_AE" w:bidi="ar_AE"/>
        </w:rPr>
        <w:t>11–12</w:t>
      </w:r>
      <w:r>
        <w:rPr>
          <w:rtl/>
          <w:cs/>
          <w:lang w:val="ar_AE" w:bidi="ar_AE"/>
        </w:rPr>
        <w:t xml:space="preserve">; </w:t>
      </w:r>
      <w:r>
        <w:rPr>
          <w:rtl/>
          <w:cs/>
          <w:lang w:val="ar_AE" w:bidi="ar_AE"/>
        </w:rPr>
        <w:t>7:10–13</w:t>
      </w:r>
      <w:r>
        <w:rPr>
          <w:rtl/>
          <w:cs/>
          <w:lang w:val="ar_AE" w:bidi="ar_AE"/>
        </w:rPr>
        <w:t xml:space="preserve">; </w:t>
      </w:r>
      <w:r>
        <w:rPr>
          <w:rtl/>
          <w:cs/>
          <w:lang w:val="ar_AE" w:bidi="ar_AE"/>
        </w:rPr>
        <w:t>متى 6:26–30</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