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(Themes)</w:t>
      </w:r>
      <w:r>
        <w:rPr>
          <w:rtl/>
          <w:cs/>
          <w:lang w:val="ar_AE" w:bidi="ar_AE"/>
        </w:rPr>
      </w:r>
    </w:p>
    <w:p>
      <w:pPr>
        <w:bidi/>
      </w:pPr>
      <w:r>
        <w:rPr>
          <w:rtl/>
          <w:cs/>
          <w:lang w:val="ar_AE" w:bidi="ar_AE"/>
        </w:rPr>
      </w:r>
      <w:r>
        <w:rPr>
          <w:b/>
          <w:rtl/>
          <w:cs/>
          <w:lang w:val="ar_AE" w:bidi="ar_AE"/>
        </w:rPr>
        <w:t>Aquifer Open Study Notes (Themes)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ذ</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ذروة الكتاب المقدس</w:t>
      </w:r>
      <w:r>
        <w:rPr>
          <w:rtl/>
          <w:cs/>
          <w:lang w:val="ar_AE" w:bidi="ar_AE"/>
        </w:rPr>
      </w:r>
    </w:p>
    <w:p>
      <w:pPr>
        <w:bidi/>
      </w:pPr>
      <w:r>
        <w:rPr>
          <w:rtl/>
          <w:cs/>
          <w:lang w:val="ar_AE" w:bidi="ar_AE"/>
        </w:rPr>
      </w:r>
      <w:r>
        <w:rPr>
          <w:rtl/>
          <w:cs/>
          <w:lang w:val="ar_AE" w:bidi="ar_AE"/>
        </w:rPr>
        <w:t>إن قصة تلميذي عمواس في الأناجيل ذات أهمية كبيرة، فهي تُظهِر انتصار يسوع على الموت، وتُعلِن عن دوره بوصفه المسيّا (المختار من الله). كما أنها ترتبط بنبوات العهد القديم التي تكلّمت عنه.</w:t>
      </w:r>
    </w:p>
    <w:p>
      <w:pPr>
        <w:bidi/>
      </w:pPr>
      <w:r>
        <w:rPr>
          <w:rtl/>
          <w:cs/>
          <w:lang w:val="ar_AE" w:bidi="ar_AE"/>
        </w:rPr>
      </w:r>
      <w:r>
        <w:rPr>
          <w:rtl/>
          <w:cs/>
          <w:lang w:val="ar_AE" w:bidi="ar_AE"/>
        </w:rPr>
        <w:t>قال التلميذان لرفيقهما المجهول في الطريق إن يسوع كان نبيًا عظيمًا بسبب تعاليمه ومعجزاته، وأنهما كانا يرجوان أن يكون هو المسيّا. ولكن بعد أن أمسكه رؤساء اليهود وصلبوه، أُصيبا هذان التلميذان بحالة من اليأس والإحباط.</w:t>
      </w:r>
    </w:p>
    <w:p>
      <w:pPr>
        <w:bidi/>
      </w:pPr>
      <w:r>
        <w:rPr>
          <w:rtl/>
          <w:cs/>
          <w:lang w:val="ar_AE" w:bidi="ar_AE"/>
        </w:rPr>
      </w:r>
      <w:r>
        <w:rPr>
          <w:rtl/>
          <w:cs/>
          <w:lang w:val="ar_AE" w:bidi="ar_AE"/>
        </w:rPr>
        <w:t>وبّخهم يسوع لعدم قراءتهم الدقيقة للكتب المقدسة. فقد تنبأت الكتب المقدسة دائمًا بآلام المسيّا. ثم يصف الرسول لوقا كيف رافق يسوع التلميذين في رحلة في الكتب المقدسة، وأخذ “</w:t>
      </w:r>
      <w:r>
        <w:rPr>
          <w:rtl/>
          <w:cs/>
          <w:lang w:val="ar_AE" w:bidi="ar_AE"/>
        </w:rPr>
        <w:t>يُفَسِّرُ لَهُمَا ٱلْأُمُورَ ٱلْمُخْتَصَّةَ بِهِ فِي جَمِيعِ ٱلْكُتُبِ.</w:t>
      </w:r>
      <w:r>
        <w:rPr>
          <w:rtl/>
          <w:cs/>
          <w:lang w:val="ar_AE" w:bidi="ar_AE"/>
        </w:rPr>
        <w:t>” (</w:t>
      </w:r>
      <w:r>
        <w:rPr>
          <w:rtl/>
          <w:cs/>
          <w:lang w:val="ar_AE" w:bidi="ar_AE"/>
        </w:rPr>
        <w:t>لوقا 24:27</w:t>
      </w:r>
      <w:r>
        <w:rPr>
          <w:rtl/>
          <w:cs/>
          <w:lang w:val="ar_AE" w:bidi="ar_AE"/>
        </w:rPr>
        <w:t>).</w:t>
      </w:r>
    </w:p>
    <w:p>
      <w:pPr>
        <w:bidi/>
      </w:pPr>
      <w:r>
        <w:rPr>
          <w:rtl/>
          <w:cs/>
          <w:lang w:val="ar_AE" w:bidi="ar_AE"/>
        </w:rPr>
      </w:r>
      <w:r>
        <w:rPr>
          <w:rtl/>
          <w:cs/>
          <w:lang w:val="ar_AE" w:bidi="ar_AE"/>
        </w:rPr>
        <w:t>لا يشير يسوع إلى أي مقاطع من العهد القديم تتحدث عن المسيا المتألم. ومع ذلك، تشير مقاطع أخرى من كتابات لوقا إلى نصوص مختلفة:</w:t>
      </w:r>
    </w:p>
    <w:p>
      <w:pPr>
        <w:pStyle w:val="ListBullet"/>
        <w:bidi/>
        <w:spacing w:line="240" w:lineRule="auto"/>
        <w:ind w:left="720"/>
      </w:pPr>
      <w:r>
        <w:rPr>
          <w:rtl/>
          <w:cs/>
          <w:lang w:val="ar_AE" w:bidi="ar_AE"/>
        </w:rPr>
      </w:r>
      <w:r>
        <w:rPr>
          <w:rtl/>
          <w:cs/>
          <w:lang w:val="ar_AE" w:bidi="ar_AE"/>
        </w:rPr>
        <w:t>يسوع هو "الحجر الذي رفضه البنّاؤون" والذي "صار رأس الزاوية"، في بناء هيكل الله الجديد (</w:t>
      </w:r>
      <w:r>
        <w:rPr>
          <w:rtl/>
          <w:cs/>
          <w:lang w:val="ar_AE" w:bidi="ar_AE"/>
        </w:rPr>
        <w:t>مزمور 118:22</w:t>
      </w:r>
      <w:r>
        <w:rPr>
          <w:rtl/>
          <w:cs/>
          <w:lang w:val="ar_AE" w:bidi="ar_AE"/>
        </w:rPr>
        <w:t xml:space="preserve">، مقتبس في </w:t>
      </w:r>
      <w:r>
        <w:rPr>
          <w:rtl/>
          <w:cs/>
          <w:lang w:val="ar_AE" w:bidi="ar_AE"/>
        </w:rPr>
        <w:t>لوقا 20:17</w:t>
      </w:r>
      <w:r>
        <w:rPr>
          <w:rtl/>
          <w:cs/>
          <w:lang w:val="ar_AE" w:bidi="ar_AE"/>
        </w:rPr>
        <w:t>).</w:t>
      </w:r>
    </w:p>
    <w:p>
      <w:pPr>
        <w:pStyle w:val="ListBullet"/>
        <w:bidi/>
        <w:spacing w:line="240" w:lineRule="auto"/>
        <w:ind w:left="720"/>
      </w:pPr>
      <w:r>
        <w:rPr>
          <w:rtl/>
          <w:cs/>
          <w:lang w:val="ar_AE" w:bidi="ar_AE"/>
        </w:rPr>
      </w:r>
      <w:r>
        <w:rPr>
          <w:rtl/>
          <w:cs/>
          <w:lang w:val="ar_AE" w:bidi="ar_AE"/>
        </w:rPr>
        <w:t>هو عبد الرب المتألم، الذي عومِل كما لو كان مجرمًا عاديًا (</w:t>
      </w:r>
      <w:r>
        <w:rPr>
          <w:rtl/>
          <w:cs/>
          <w:lang w:val="ar_AE" w:bidi="ar_AE"/>
        </w:rPr>
        <w:t>إشعياء 53:12</w:t>
      </w:r>
      <w:r>
        <w:rPr>
          <w:rtl/>
          <w:cs/>
          <w:lang w:val="ar_AE" w:bidi="ar_AE"/>
        </w:rPr>
        <w:t xml:space="preserve">، مقتبس في </w:t>
      </w:r>
      <w:r>
        <w:rPr>
          <w:rtl/>
          <w:cs/>
          <w:lang w:val="ar_AE" w:bidi="ar_AE"/>
        </w:rPr>
        <w:t>لوقا 22:37</w:t>
      </w:r>
      <w:r>
        <w:rPr>
          <w:rtl/>
          <w:cs/>
          <w:lang w:val="ar_AE" w:bidi="ar_AE"/>
        </w:rPr>
        <w:t>).</w:t>
      </w:r>
    </w:p>
    <w:p>
      <w:pPr>
        <w:pStyle w:val="ListBullet"/>
        <w:bidi/>
        <w:spacing w:line="240" w:lineRule="auto"/>
        <w:ind w:left="720"/>
      </w:pPr>
      <w:r>
        <w:rPr>
          <w:rtl/>
          <w:cs/>
          <w:lang w:val="ar_AE" w:bidi="ar_AE"/>
        </w:rPr>
      </w:r>
      <w:r>
        <w:rPr>
          <w:rtl/>
          <w:cs/>
          <w:lang w:val="ar_AE" w:bidi="ar_AE"/>
        </w:rPr>
        <w:t>خصومه يسخرون منه ويهينونه ويبصقون عليه (</w:t>
      </w:r>
      <w:r>
        <w:rPr>
          <w:rtl/>
          <w:cs/>
          <w:lang w:val="ar_AE" w:bidi="ar_AE"/>
        </w:rPr>
        <w:t>إشعياء 50:6</w:t>
      </w:r>
      <w:r>
        <w:rPr>
          <w:rtl/>
          <w:cs/>
          <w:lang w:val="ar_AE" w:bidi="ar_AE"/>
        </w:rPr>
        <w:t xml:space="preserve">، كما يُلمَّح إليه في </w:t>
      </w:r>
      <w:r>
        <w:rPr>
          <w:rtl/>
          <w:cs/>
          <w:lang w:val="ar_AE" w:bidi="ar_AE"/>
        </w:rPr>
        <w:t>لوقا 18:32</w:t>
      </w:r>
      <w:r>
        <w:rPr>
          <w:rtl/>
          <w:cs/>
          <w:lang w:val="ar_AE" w:bidi="ar_AE"/>
        </w:rPr>
        <w:t>).</w:t>
      </w:r>
    </w:p>
    <w:p>
      <w:pPr>
        <w:pStyle w:val="ListBullet"/>
        <w:bidi/>
        <w:spacing w:line="240" w:lineRule="auto"/>
        <w:ind w:left="720"/>
      </w:pPr>
      <w:r>
        <w:rPr>
          <w:rtl/>
          <w:cs/>
          <w:lang w:val="ar_AE" w:bidi="ar_AE"/>
        </w:rPr>
      </w:r>
      <w:r>
        <w:rPr>
          <w:rtl/>
          <w:cs/>
          <w:lang w:val="ar_AE" w:bidi="ar_AE"/>
        </w:rPr>
        <w:t>هو الملك الممسوح الذي رفضه القادة وشعب إسرائيل، لكنه أُعلن بريئًا من قبل الله (</w:t>
      </w:r>
      <w:r>
        <w:rPr>
          <w:rtl/>
          <w:cs/>
          <w:lang w:val="ar_AE" w:bidi="ar_AE"/>
        </w:rPr>
        <w:t>مزمور 2:1–2</w:t>
      </w:r>
      <w:r>
        <w:rPr>
          <w:rtl/>
          <w:cs/>
          <w:lang w:val="ar_AE" w:bidi="ar_AE"/>
        </w:rPr>
        <w:t xml:space="preserve">، مُقتبس في </w:t>
      </w:r>
      <w:r>
        <w:rPr>
          <w:rtl/>
          <w:cs/>
          <w:lang w:val="ar_AE" w:bidi="ar_AE"/>
        </w:rPr>
        <w:t>أعمال الرسل 4:25–28</w:t>
      </w:r>
      <w:r>
        <w:rPr>
          <w:rtl/>
          <w:cs/>
          <w:lang w:val="ar_AE" w:bidi="ar_AE"/>
        </w:rPr>
        <w:t>).</w:t>
      </w:r>
    </w:p>
    <w:p>
      <w:pPr>
        <w:pStyle w:val="ListBullet"/>
        <w:bidi/>
        <w:spacing w:line="240" w:lineRule="auto"/>
        <w:ind w:left="720"/>
      </w:pPr>
      <w:r>
        <w:rPr>
          <w:rtl/>
          <w:cs/>
          <w:lang w:val="ar_AE" w:bidi="ar_AE"/>
        </w:rPr>
      </w:r>
      <w:r>
        <w:rPr>
          <w:rtl/>
          <w:cs/>
          <w:lang w:val="ar_AE" w:bidi="ar_AE"/>
        </w:rPr>
        <w:t>هو من نسل الملك داود الذي لن يتركه الله في القبر (</w:t>
      </w:r>
      <w:r>
        <w:rPr>
          <w:rtl/>
          <w:cs/>
          <w:lang w:val="ar_AE" w:bidi="ar_AE"/>
        </w:rPr>
        <w:t>مزمور 16:8–11</w:t>
      </w:r>
      <w:r>
        <w:rPr>
          <w:rtl/>
          <w:cs/>
          <w:lang w:val="ar_AE" w:bidi="ar_AE"/>
        </w:rPr>
        <w:t xml:space="preserve">، كما ورد في </w:t>
      </w:r>
      <w:r>
        <w:rPr>
          <w:rtl/>
          <w:cs/>
          <w:lang w:val="ar_AE" w:bidi="ar_AE"/>
        </w:rPr>
        <w:t>أعمال الرسل 2:25–28</w:t>
      </w:r>
      <w:r>
        <w:rPr>
          <w:rtl/>
          <w:cs/>
          <w:lang w:val="ar_AE" w:bidi="ar_AE"/>
        </w:rPr>
        <w:t>).</w:t>
      </w:r>
    </w:p>
    <w:p>
      <w:pPr>
        <w:bidi/>
      </w:pPr>
      <w:r>
        <w:rPr>
          <w:rtl/>
          <w:cs/>
          <w:lang w:val="ar_AE" w:bidi="ar_AE"/>
        </w:rPr>
      </w:r>
      <w:r>
        <w:rPr>
          <w:rtl/>
          <w:cs/>
          <w:lang w:val="ar_AE" w:bidi="ar_AE"/>
        </w:rPr>
        <w:t xml:space="preserve">وفقًا لما ورد في </w:t>
      </w:r>
      <w:r>
        <w:rPr>
          <w:rtl/>
          <w:cs/>
          <w:lang w:val="ar_AE" w:bidi="ar_AE"/>
        </w:rPr>
        <w:t>لوقا 24:27</w:t>
      </w:r>
      <w:r>
        <w:rPr>
          <w:rtl/>
          <w:cs/>
          <w:lang w:val="ar_AE" w:bidi="ar_AE"/>
        </w:rPr>
        <w:t>، قام يسوع باستعراض تاريخ إسرائيل وأوضح كيف أن هذا التاريخ يتنبأ ويتمم غايته (الذروة) في شخص يسوع المسيّا، وكيل الله للخلاص. هذا يشبه وصف الرسول بولس للمسيح بأنه "</w:t>
      </w:r>
      <w:r>
        <w:rPr>
          <w:rtl/>
          <w:cs/>
          <w:lang w:val="ar_AE" w:bidi="ar_AE"/>
        </w:rPr>
        <w:t>غَايَةَ ٱلنَّامُوسِ</w:t>
      </w:r>
      <w:r>
        <w:rPr>
          <w:rtl/>
          <w:cs/>
          <w:lang w:val="ar_AE" w:bidi="ar_AE"/>
        </w:rPr>
        <w:t>" (</w:t>
      </w:r>
      <w:r>
        <w:rPr>
          <w:rtl/>
          <w:cs/>
          <w:lang w:val="ar_AE" w:bidi="ar_AE"/>
        </w:rPr>
        <w:t>رومية 10:4</w:t>
      </w:r>
      <w:r>
        <w:rPr>
          <w:rtl/>
          <w:cs/>
          <w:lang w:val="ar_AE" w:bidi="ar_AE"/>
        </w:rPr>
        <w:t>). جميع أسفار العهد القديم، بما في ذلك ناموس موسى والأنبياء والمزامير، تظهر قصة الله للخلاص (</w:t>
      </w:r>
      <w:r>
        <w:rPr>
          <w:rtl/>
          <w:cs/>
          <w:lang w:val="ar_AE" w:bidi="ar_AE"/>
        </w:rPr>
        <w:t>لوقا 24:44</w:t>
      </w:r>
      <w:r>
        <w:rPr>
          <w:rtl/>
          <w:cs/>
          <w:lang w:val="ar_AE" w:bidi="ar_AE"/>
        </w:rPr>
        <w:t>). وتبلغ هذه القصة غايتها في حياة يسوع وموته وقيامته.</w:t>
      </w:r>
    </w:p>
    <w:p>
      <w:pPr>
        <w:bidi/>
      </w:pPr>
      <w:r>
        <w:rPr>
          <w:rtl/>
          <w:cs/>
          <w:lang w:val="ar_AE" w:bidi="ar_AE"/>
        </w:rPr>
      </w:r>
      <w:r>
        <w:rPr>
          <w:u w:val="single"/>
          <w:rtl/>
          <w:cs/>
          <w:lang w:val="ar_AE" w:bidi="ar_AE"/>
        </w:rPr>
        <w:t xml:space="preserve">مقاطع لمزيد من الدراسة </w:t>
      </w:r>
    </w:p>
    <w:p>
      <w:pPr>
        <w:bidi/>
      </w:pPr>
      <w:r>
        <w:rPr>
          <w:rtl/>
          <w:cs/>
          <w:lang w:val="ar_AE" w:bidi="ar_AE"/>
        </w:rPr>
      </w:r>
      <w:r>
        <w:rPr>
          <w:rtl/>
          <w:cs/>
          <w:lang w:val="ar_AE" w:bidi="ar_AE"/>
        </w:rPr>
        <w:t>لوقا ٢٤: ١٣–٤٩</w:t>
      </w:r>
      <w:r>
        <w:rPr>
          <w:rtl/>
          <w:cs/>
          <w:lang w:val="ar_AE" w:bidi="ar_AE"/>
        </w:rPr>
        <w:t xml:space="preserve">; </w:t>
      </w:r>
      <w:r>
        <w:rPr>
          <w:rtl/>
          <w:cs/>
          <w:lang w:val="ar_AE" w:bidi="ar_AE"/>
        </w:rPr>
        <w:t>رومية ١٠: ٤</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