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Être citoyen du royaume de Dieu</w:t>
      </w:r>
      <w:r>
        <w:rPr>
          <w:lang w:val="fr_FR" w:bidi="fr_FR"/>
        </w:rPr>
      </w:r>
    </w:p>
    <w:p>
      <w:pPr/>
      <w:r>
        <w:rPr>
          <w:lang w:val="fr_FR" w:bidi="fr_FR"/>
        </w:rPr>
      </w:r>
      <w:r>
        <w:rPr>
          <w:lang w:val="fr_FR" w:bidi="fr_FR"/>
        </w:rPr>
        <w:t>Les Juifs du premier siècle désiraient avoir un messie qui serait un roi comme David ou un chef guerrier comme Judas Maccabée, afin de vaincre leurs oppresseurs. Jésus enseigne que le royaume de Dieu a d'autres priorités que cette façon de penser (</w:t>
      </w:r>
      <w:r>
        <w:rPr>
          <w:lang w:val="fr_FR" w:bidi="fr_FR"/>
        </w:rPr>
        <w:t>Mt 5.43–48</w:t>
      </w:r>
      <w:r>
        <w:rPr>
          <w:lang w:val="fr_FR" w:bidi="fr_FR"/>
        </w:rPr>
        <w:t>).</w:t>
      </w:r>
    </w:p>
    <w:p>
      <w:pPr/>
      <w:r>
        <w:rPr>
          <w:lang w:val="fr_FR" w:bidi="fr_FR"/>
        </w:rPr>
      </w:r>
      <w:r>
        <w:rPr>
          <w:lang w:val="fr_FR" w:bidi="fr_FR"/>
        </w:rPr>
        <w:t>L'Évangile de Matthieu montre que Jésus est un enseignant exceptionnel. Le sermon sur la montagne est son discours le plus long et le plus célèbre. Ce ne sont pas seulement des enseignements sur le bien et le mal, mais un enseignement qui montre comment être des citoyens du royaume des cieux (voir Ph 3.20).</w:t>
      </w:r>
    </w:p>
    <w:p>
      <w:pPr/>
      <w:r>
        <w:rPr>
          <w:lang w:val="fr_FR" w:bidi="fr_FR"/>
        </w:rPr>
      </w:r>
      <w:r>
        <w:rPr>
          <w:lang w:val="fr_FR" w:bidi="fr_FR"/>
        </w:rPr>
        <w:t>Jésus décrit ceux qui héritent du royaume des cieux du point de vue de leur relation avec Dieu, de la transformation de leurs cœurs et de leurs relations avec les autres. Cet enseignement de Jésus a frappé ceux qui l'écoutaient (</w:t>
      </w:r>
      <w:r>
        <w:rPr>
          <w:lang w:val="fr_FR" w:bidi="fr_FR"/>
        </w:rPr>
        <w:t>Mt 7.28–29</w:t>
      </w:r>
      <w:r>
        <w:rPr>
          <w:lang w:val="fr_FR" w:bidi="fr_FR"/>
        </w:rPr>
        <w:t>).</w:t>
      </w:r>
    </w:p>
    <w:p>
      <w:pPr/>
      <w:r>
        <w:rPr>
          <w:lang w:val="fr_FR" w:bidi="fr_FR"/>
        </w:rPr>
      </w:r>
      <w:r>
        <w:rPr>
          <w:lang w:val="fr_FR" w:bidi="fr_FR"/>
        </w:rPr>
        <w:t>Souvent, il est tentant de séparer ces trois domaines, mais ils sont toujours liés. Par exemple, l'enseignement de Jésus au sujet de l'humilité pourrait sembler s'appliquer au cœur seulement, mais il concerne aussi notre attitude envers Dieu et les autres (</w:t>
      </w:r>
      <w:r>
        <w:rPr>
          <w:lang w:val="fr_FR" w:bidi="fr_FR"/>
        </w:rPr>
        <w:t>Mt 5.5</w:t>
      </w:r>
      <w:r>
        <w:rPr>
          <w:lang w:val="fr_FR" w:bidi="fr_FR"/>
        </w:rPr>
        <w:t>). Le commandement de ne pas résister à une personne malfaisante qui fait le mal semble concerner les actions seulement (</w:t>
      </w:r>
      <w:r>
        <w:rPr>
          <w:lang w:val="fr_FR" w:bidi="fr_FR"/>
        </w:rPr>
        <w:t>5.39</w:t>
      </w:r>
      <w:r>
        <w:rPr>
          <w:lang w:val="fr_FR" w:bidi="fr_FR"/>
        </w:rPr>
        <w:t>). Cependant, pour y obéir, il faut la foi et une transformation du cœur. L'enseignement sur la prière semble concerner principalement notre relation avec Dieu (</w:t>
      </w:r>
      <w:r>
        <w:rPr>
          <w:lang w:val="fr_FR" w:bidi="fr_FR"/>
        </w:rPr>
        <w:t>6.5–15</w:t>
      </w:r>
      <w:r>
        <w:rPr>
          <w:lang w:val="fr_FR" w:bidi="fr_FR"/>
        </w:rPr>
        <w:t>). Toutefois, la prière commence par comprendre que nous sommes dans le besoin et porte aussi sur les relations avec les autres.</w:t>
      </w:r>
    </w:p>
    <w:p>
      <w:pPr/>
      <w:r>
        <w:rPr>
          <w:lang w:val="fr_FR" w:bidi="fr_FR"/>
        </w:rPr>
      </w:r>
      <w:r>
        <w:rPr>
          <w:lang w:val="fr_FR" w:bidi="fr_FR"/>
        </w:rPr>
        <w:t>Pour être citoyen du royaume des cieux, il faut suivre Jésus et mener une vie centrée sur Dieu, et non sur soi-même. Si quelqu'un est religieux extérieurement seulement, alors cette personne est en fin de compte centrée sur elle-même. Il ne faut pas agir pour obtenir des récompenses et se penser juste soi-même. La vraie justice est celle du cœur, celle que seul Dieu peut accorder. Jésus appelle à une transformation véritable et profonde (</w:t>
      </w:r>
      <w:r>
        <w:rPr>
          <w:lang w:val="fr_FR" w:bidi="fr_FR"/>
        </w:rPr>
        <w:t>Mt 5.20</w:t>
      </w:r>
      <w:r>
        <w:rPr>
          <w:lang w:val="fr_FR" w:bidi="fr_FR"/>
        </w:rPr>
        <w:t xml:space="preserve">, </w:t>
      </w:r>
      <w:r>
        <w:rPr>
          <w:lang w:val="fr_FR" w:bidi="fr_FR"/>
        </w:rPr>
        <w:t>48</w:t>
      </w:r>
      <w:r>
        <w:rPr>
          <w:lang w:val="fr_FR" w:bidi="fr_FR"/>
        </w:rPr>
        <w:t>). Ceci n'est possible que quand quelqu'un décide de suivre Jésus en comprenant qu'il dépend entièrement de lui pour cette transformation intérieure.</w:t>
      </w:r>
    </w:p>
    <w:p>
      <w:pPr/>
      <w:r>
        <w:rPr>
          <w:lang w:val="fr_FR" w:bidi="fr_FR"/>
        </w:rPr>
      </w:r>
      <w:r>
        <w:rPr>
          <w:u w:val="single"/>
          <w:lang w:val="fr_FR" w:bidi="fr_FR"/>
        </w:rPr>
        <w:t>Passages pour une étude plus approfondie</w:t>
      </w:r>
    </w:p>
    <w:p>
      <w:pPr/>
      <w:r>
        <w:rPr>
          <w:lang w:val="fr_FR" w:bidi="fr_FR"/>
        </w:rPr>
      </w:r>
      <w:r>
        <w:rPr>
          <w:lang w:val="fr_FR" w:bidi="fr_FR"/>
        </w:rPr>
        <w:t>Matthieu 7.24–29</w:t>
      </w:r>
      <w:r>
        <w:rPr>
          <w:lang w:val="fr_FR" w:bidi="fr_FR"/>
        </w:rPr>
        <w:t xml:space="preserve"> ; </w:t>
      </w:r>
      <w:r>
        <w:rPr>
          <w:lang w:val="fr_FR" w:bidi="fr_FR"/>
        </w:rPr>
        <w:t>13.1–52</w:t>
      </w:r>
      <w:r>
        <w:rPr>
          <w:lang w:val="fr_FR" w:bidi="fr_FR"/>
        </w:rPr>
        <w:t xml:space="preserve"> ; </w:t>
      </w:r>
      <w:r>
        <w:rPr>
          <w:lang w:val="fr_FR" w:bidi="fr_FR"/>
        </w:rPr>
        <w:t>Marc 10.14–16</w:t>
      </w:r>
      <w:r>
        <w:rPr>
          <w:lang w:val="fr_FR" w:bidi="fr_FR"/>
        </w:rPr>
        <w:t xml:space="preserve"> ; </w:t>
      </w:r>
      <w:r>
        <w:rPr>
          <w:lang w:val="fr_FR" w:bidi="fr_FR"/>
        </w:rPr>
        <w:t>Luc 8.1–3</w:t>
      </w:r>
      <w:r>
        <w:rPr>
          <w:lang w:val="fr_FR" w:bidi="fr_FR"/>
        </w:rPr>
        <w:t xml:space="preserve"> ; </w:t>
      </w:r>
      <w:r>
        <w:rPr>
          <w:lang w:val="fr_FR" w:bidi="fr_FR"/>
        </w:rPr>
        <w:t>9.1–6</w:t>
      </w:r>
      <w:r>
        <w:rPr>
          <w:lang w:val="fr_FR" w:bidi="fr_FR"/>
        </w:rPr>
        <w:t xml:space="preserve"> ; </w:t>
      </w:r>
      <w:r>
        <w:rPr>
          <w:lang w:val="fr_FR" w:bidi="fr_FR"/>
        </w:rPr>
        <w:t>Jean 3.1–21</w:t>
      </w:r>
      <w:r>
        <w:rPr>
          <w:lang w:val="fr_FR" w:bidi="fr_FR"/>
        </w:rPr>
        <w:t xml:space="preserve"> ; </w:t>
      </w:r>
      <w:r>
        <w:rPr>
          <w:lang w:val="fr_FR" w:bidi="fr_FR"/>
        </w:rPr>
        <w:t>Actes 8.12</w:t>
      </w:r>
      <w:r>
        <w:rPr>
          <w:lang w:val="fr_FR" w:bidi="fr_FR"/>
        </w:rPr>
        <w:t xml:space="preserve"> ; </w:t>
      </w:r>
      <w:r>
        <w:rPr>
          <w:lang w:val="fr_FR" w:bidi="fr_FR"/>
        </w:rPr>
        <w:t>28.23–31</w:t>
      </w:r>
      <w:r>
        <w:rPr>
          <w:lang w:val="fr_FR" w:bidi="fr_FR"/>
        </w:rPr>
      </w:r>
      <w:r>
        <w:rPr>
          <w:lang w:val="fr_FR" w:bidi="fr_FR"/>
        </w:rPr>
      </w:r>
    </w:p>
    <w:p>
      <w:pPr/>
      <w:r>
        <w:rPr>
          <w:lang w:val="fr_FR" w:bidi="fr_FR"/>
        </w:rPr>
      </w:r>
    </w:p>
    <w:p>
      <w:pPr>
        <w:pStyle w:val="Heading2"/>
      </w:pPr>
      <w:r>
        <w:rPr>
          <w:lang w:val="fr_FR" w:bidi="fr_FR"/>
        </w:rPr>
        <w:t>Expiation</w:t>
      </w:r>
      <w:r>
        <w:rPr>
          <w:lang w:val="fr_FR" w:bidi="fr_FR"/>
        </w:rPr>
      </w:r>
    </w:p>
    <w:p>
      <w:pPr/>
      <w:r>
        <w:rPr>
          <w:lang w:val="fr_FR" w:bidi="fr_FR"/>
        </w:rPr>
      </w:r>
      <w:r>
        <w:rPr>
          <w:lang w:val="fr_FR" w:bidi="fr_FR"/>
        </w:rPr>
        <w:t xml:space="preserve">Dans </w:t>
      </w:r>
      <w:r>
        <w:rPr>
          <w:lang w:val="fr_FR" w:bidi="fr_FR"/>
        </w:rPr>
        <w:t>Lévitique 16</w:t>
      </w:r>
      <w:r>
        <w:rPr>
          <w:lang w:val="fr_FR" w:bidi="fr_FR"/>
        </w:rPr>
        <w:t xml:space="preserve">, des instructions sont données pour la cérémonie annuelle du Jour des Expiations. Le souverain sacrificateur et le peuple observaient un rite et présentaient des sacrifices pour que Dieu pardonne les péchés de toute la communauté d'Israël et purifie son sanctuaire. </w:t>
      </w:r>
    </w:p>
    <w:p>
      <w:pPr/>
      <w:r>
        <w:rPr>
          <w:lang w:val="fr_FR" w:bidi="fr_FR"/>
        </w:rPr>
      </w:r>
      <w:r>
        <w:rPr>
          <w:lang w:val="fr_FR" w:bidi="fr_FR"/>
        </w:rPr>
        <w:t>Puisque Dieu est saint, il ne peut pas cohabiter avec l'impureté et le péché. Dans sa grâce, il permettait de sacrifier des animaux pour obtenir le pardon des péchés. La mort de l'animal représentait la mort du pécheur. Le prix de son péché (la mort) était donc payé, et celui qui offrait le sacrifice recevait le pardon et restait en vie. Le sang avait un rôle important dans les sacrifices parce qu'il représentait la vie de l'animal sacrifié (</w:t>
      </w:r>
      <w:r>
        <w:rPr>
          <w:lang w:val="fr_FR" w:bidi="fr_FR"/>
        </w:rPr>
        <w:t>Lv 17.11</w:t>
      </w:r>
      <w:r>
        <w:rPr>
          <w:lang w:val="fr_FR" w:bidi="fr_FR"/>
        </w:rPr>
        <w:t>).</w:t>
      </w:r>
    </w:p>
    <w:p>
      <w:pPr/>
      <w:r>
        <w:rPr>
          <w:lang w:val="fr_FR" w:bidi="fr_FR"/>
        </w:rPr>
      </w:r>
      <w:r>
        <w:rPr>
          <w:lang w:val="fr_FR" w:bidi="fr_FR"/>
        </w:rPr>
        <w:t>Les sacrifices pour le péché couvraient la réparation, la purification et la réconciliation avec Dieu. Par exemple, lorsque quelqu'un avait causé des dommages ou la perte de la propriété d'autrui, il devait offrir un sacrifice de réparation. Ce sacrifice est appelé un sacrifice de culpabilité dans la Louis Segond. Quand c'était possible, un remboursement avec une surcharge de 20 pourcent était requis (</w:t>
      </w:r>
      <w:r>
        <w:rPr>
          <w:lang w:val="fr_FR" w:bidi="fr_FR"/>
        </w:rPr>
        <w:t>5.14–5.26</w:t>
      </w:r>
      <w:r>
        <w:rPr>
          <w:lang w:val="fr_FR" w:bidi="fr_FR"/>
        </w:rPr>
        <w:t xml:space="preserve">). </w:t>
      </w:r>
    </w:p>
    <w:p>
      <w:pPr/>
      <w:r>
        <w:rPr>
          <w:lang w:val="fr_FR" w:bidi="fr_FR"/>
        </w:rPr>
      </w:r>
      <w:r>
        <w:rPr>
          <w:lang w:val="fr_FR" w:bidi="fr_FR"/>
        </w:rPr>
        <w:t>La purification du péché était nécessaire quand quelqu'un avait péché directement contre Dieu. L'adorateur offrait un sacrifice d'expiation (</w:t>
      </w:r>
      <w:r>
        <w:rPr>
          <w:lang w:val="fr_FR" w:bidi="fr_FR"/>
        </w:rPr>
        <w:t>1.1–17</w:t>
      </w:r>
      <w:r>
        <w:rPr>
          <w:lang w:val="fr_FR" w:bidi="fr_FR"/>
        </w:rPr>
        <w:t xml:space="preserve"> ; </w:t>
      </w:r>
      <w:r>
        <w:rPr>
          <w:lang w:val="fr_FR" w:bidi="fr_FR"/>
        </w:rPr>
        <w:t>4.1–5.26</w:t>
      </w:r>
      <w:r>
        <w:rPr>
          <w:lang w:val="fr_FR" w:bidi="fr_FR"/>
        </w:rPr>
        <w:t>). Ce sacrifice permettait d'obtenir le pardon et d'être purifié de son péché. Dans certaines situations, plusieurs de ces sacrifices différents devaient être offerts. Ces sacrifices permettaient la réconciliation avec Dieu.</w:t>
      </w:r>
    </w:p>
    <w:p>
      <w:pPr/>
      <w:r>
        <w:rPr>
          <w:lang w:val="fr_FR" w:bidi="fr_FR"/>
        </w:rPr>
      </w:r>
      <w:r>
        <w:rPr>
          <w:lang w:val="fr_FR" w:bidi="fr_FR"/>
        </w:rPr>
        <w:t>Dans les sacrifices d'expiation qui rétablissent la paix avec Dieu, poser les mains sur l'animal symbolisait la relation entre l'animal sacrifié et l'adorateur qui donnait l'animal en sacrifice (</w:t>
      </w:r>
      <w:r>
        <w:rPr>
          <w:lang w:val="fr_FR" w:bidi="fr_FR"/>
        </w:rPr>
        <w:t>4.4–35</w:t>
      </w:r>
      <w:r>
        <w:rPr>
          <w:lang w:val="fr_FR" w:bidi="fr_FR"/>
        </w:rPr>
        <w:t xml:space="preserve"> ; </w:t>
      </w:r>
      <w:r>
        <w:rPr>
          <w:lang w:val="fr_FR" w:bidi="fr_FR"/>
        </w:rPr>
        <w:t>16.21</w:t>
      </w:r>
      <w:r>
        <w:rPr>
          <w:lang w:val="fr_FR" w:bidi="fr_FR"/>
        </w:rPr>
        <w:t>). Comme le sang représentait la vie de l'animal (</w:t>
      </w:r>
      <w:r>
        <w:rPr>
          <w:lang w:val="fr_FR" w:bidi="fr_FR"/>
        </w:rPr>
        <w:t>17.14</w:t>
      </w:r>
      <w:r>
        <w:rPr>
          <w:lang w:val="fr_FR" w:bidi="fr_FR"/>
        </w:rPr>
        <w:t>), il était présenté à Dieu en remplacement de la vie de l'adorateur (</w:t>
      </w:r>
      <w:r>
        <w:rPr>
          <w:lang w:val="fr_FR" w:bidi="fr_FR"/>
        </w:rPr>
        <w:t>17.11</w:t>
      </w:r>
      <w:r>
        <w:rPr>
          <w:lang w:val="fr_FR" w:bidi="fr_FR"/>
        </w:rPr>
        <w:t>). Une fois l'animal mis à mort, son sang et certaines parties de son corps étaient présentées à Dieu. Dans certains cas, le tout était brûlé et dans d'autres, certaines parties seulement.</w:t>
      </w:r>
    </w:p>
    <w:p>
      <w:pPr/>
      <w:r>
        <w:rPr>
          <w:lang w:val="fr_FR" w:bidi="fr_FR"/>
        </w:rPr>
      </w:r>
      <w:r>
        <w:rPr>
          <w:lang w:val="fr_FR" w:bidi="fr_FR"/>
        </w:rPr>
        <w:t>Dans le NT, Jésus est l'agneau de Dieu qui enlève le péché du monde (</w:t>
      </w:r>
      <w:r>
        <w:rPr>
          <w:lang w:val="fr_FR" w:bidi="fr_FR"/>
        </w:rPr>
        <w:t>Jn 1.29</w:t>
      </w:r>
      <w:r>
        <w:rPr>
          <w:lang w:val="fr_FR" w:bidi="fr_FR"/>
        </w:rPr>
        <w:t>). En se présentant comme sacrifice dans le sanctuaire céleste, il a obtenu une « rédemption éternelle » pour les chrétiens, car il est le sacrifice parfait et complet qui n'a pas besoin d'être répété (</w:t>
      </w:r>
      <w:r>
        <w:rPr>
          <w:lang w:val="fr_FR" w:bidi="fr_FR"/>
        </w:rPr>
        <w:t xml:space="preserve">Hé </w:t>
      </w:r>
      <w:r>
        <w:rPr>
          <w:lang w:val="fr_FR" w:bidi="fr_FR"/>
        </w:rPr>
        <w:t>9.12–14</w:t>
      </w:r>
      <w:r>
        <w:rPr>
          <w:lang w:val="fr_FR" w:bidi="fr_FR"/>
        </w:rPr>
        <w:t>). Son sang fait l'expiation des péchés du monde (</w:t>
      </w:r>
      <w:r>
        <w:rPr>
          <w:lang w:val="fr_FR" w:bidi="fr_FR"/>
        </w:rPr>
        <w:t>Ep 1.7</w:t>
      </w:r>
      <w:r>
        <w:rPr>
          <w:lang w:val="fr_FR" w:bidi="fr_FR"/>
        </w:rPr>
        <w:t xml:space="preserve"> ; </w:t>
      </w:r>
      <w:r>
        <w:rPr>
          <w:lang w:val="fr_FR" w:bidi="fr_FR"/>
        </w:rPr>
        <w:t>Col 1.20</w:t>
      </w:r>
      <w:r>
        <w:rPr>
          <w:lang w:val="fr_FR" w:bidi="fr_FR"/>
        </w:rPr>
        <w:t>). Il a payé la dette de nos péchés et nous a réconciliés avec Dieu. Celui qui est sauvé est pardonné et n'est plus sous la colère de Dieu.</w:t>
      </w:r>
    </w:p>
    <w:p>
      <w:pPr/>
      <w:r>
        <w:rPr>
          <w:lang w:val="fr_FR" w:bidi="fr_FR"/>
        </w:rPr>
      </w:r>
      <w:r>
        <w:rPr>
          <w:u w:val="single"/>
          <w:lang w:val="fr_FR" w:bidi="fr_FR"/>
        </w:rPr>
        <w:t>Passages pour une étude plus approfondie</w:t>
      </w:r>
    </w:p>
    <w:p>
      <w:pPr/>
      <w:r>
        <w:rPr>
          <w:lang w:val="fr_FR" w:bidi="fr_FR"/>
        </w:rPr>
      </w:r>
      <w:r>
        <w:rPr>
          <w:lang w:val="fr_FR" w:bidi="fr_FR"/>
        </w:rPr>
        <w:t>Exode 25.17–22</w:t>
      </w:r>
      <w:r>
        <w:rPr>
          <w:lang w:val="fr_FR" w:bidi="fr_FR"/>
        </w:rPr>
        <w:t xml:space="preserve"> ; </w:t>
      </w:r>
      <w:r>
        <w:rPr>
          <w:lang w:val="fr_FR" w:bidi="fr_FR"/>
        </w:rPr>
        <w:t>30.10–16</w:t>
      </w:r>
      <w:r>
        <w:rPr>
          <w:lang w:val="fr_FR" w:bidi="fr_FR"/>
        </w:rPr>
        <w:t xml:space="preserve"> ; </w:t>
      </w:r>
      <w:r>
        <w:rPr>
          <w:lang w:val="fr_FR" w:bidi="fr_FR"/>
        </w:rPr>
        <w:t>Lévitique 1.1–17</w:t>
      </w:r>
      <w:r>
        <w:rPr>
          <w:lang w:val="fr_FR" w:bidi="fr_FR"/>
        </w:rPr>
        <w:t xml:space="preserve"> ; </w:t>
      </w:r>
      <w:r>
        <w:rPr>
          <w:lang w:val="fr_FR" w:bidi="fr_FR"/>
        </w:rPr>
        <w:t>4.1–6.7</w:t>
      </w:r>
      <w:r>
        <w:rPr>
          <w:lang w:val="fr_FR" w:bidi="fr_FR"/>
        </w:rPr>
        <w:t xml:space="preserve"> ; </w:t>
      </w:r>
      <w:r>
        <w:rPr>
          <w:lang w:val="fr_FR" w:bidi="fr_FR"/>
        </w:rPr>
        <w:t>16.1–34</w:t>
      </w:r>
      <w:r>
        <w:rPr>
          <w:lang w:val="fr_FR" w:bidi="fr_FR"/>
        </w:rPr>
        <w:t xml:space="preserve"> ; </w:t>
      </w:r>
      <w:r>
        <w:rPr>
          <w:lang w:val="fr_FR" w:bidi="fr_FR"/>
        </w:rPr>
        <w:t>17.10–14</w:t>
      </w:r>
      <w:r>
        <w:rPr>
          <w:lang w:val="fr_FR" w:bidi="fr_FR"/>
        </w:rPr>
        <w:t xml:space="preserve"> ; </w:t>
      </w:r>
      <w:r>
        <w:rPr>
          <w:lang w:val="fr_FR" w:bidi="fr_FR"/>
        </w:rPr>
        <w:t>23.26–32</w:t>
      </w:r>
      <w:r>
        <w:rPr>
          <w:lang w:val="fr_FR" w:bidi="fr_FR"/>
        </w:rPr>
        <w:t xml:space="preserve"> ; </w:t>
      </w:r>
      <w:r>
        <w:rPr>
          <w:lang w:val="fr_FR" w:bidi="fr_FR"/>
        </w:rPr>
        <w:t>Nombres 15.22–29</w:t>
      </w:r>
      <w:r>
        <w:rPr>
          <w:lang w:val="fr_FR" w:bidi="fr_FR"/>
        </w:rPr>
        <w:t xml:space="preserve"> ; </w:t>
      </w:r>
      <w:r>
        <w:rPr>
          <w:lang w:val="fr_FR" w:bidi="fr_FR"/>
        </w:rPr>
        <w:t>29.7–11</w:t>
      </w:r>
      <w:r>
        <w:rPr>
          <w:lang w:val="fr_FR" w:bidi="fr_FR"/>
        </w:rPr>
        <w:t xml:space="preserve"> ; </w:t>
      </w:r>
      <w:r>
        <w:rPr>
          <w:lang w:val="fr_FR" w:bidi="fr_FR"/>
        </w:rPr>
        <w:t>Psaume 51.9</w:t>
      </w:r>
      <w:r>
        <w:rPr>
          <w:lang w:val="fr_FR" w:bidi="fr_FR"/>
        </w:rPr>
        <w:t xml:space="preserve"> ; </w:t>
      </w:r>
      <w:r>
        <w:rPr>
          <w:lang w:val="fr_FR" w:bidi="fr_FR"/>
        </w:rPr>
        <w:t>Proverbes 16.6</w:t>
      </w:r>
      <w:r>
        <w:rPr>
          <w:lang w:val="fr_FR" w:bidi="fr_FR"/>
        </w:rPr>
        <w:t xml:space="preserve"> ; </w:t>
      </w:r>
      <w:r>
        <w:rPr>
          <w:lang w:val="fr_FR" w:bidi="fr_FR"/>
        </w:rPr>
        <w:t>Ézéchiel 43.18–27</w:t>
      </w:r>
      <w:r>
        <w:rPr>
          <w:lang w:val="fr_FR" w:bidi="fr_FR"/>
        </w:rPr>
        <w:t xml:space="preserve"> ; </w:t>
      </w:r>
      <w:r>
        <w:rPr>
          <w:lang w:val="fr_FR" w:bidi="fr_FR"/>
        </w:rPr>
        <w:t>Daniel 9.24</w:t>
      </w:r>
      <w:r>
        <w:rPr>
          <w:lang w:val="fr_FR" w:bidi="fr_FR"/>
        </w:rPr>
        <w:t xml:space="preserve"> ; </w:t>
      </w:r>
      <w:r>
        <w:rPr>
          <w:lang w:val="fr_FR" w:bidi="fr_FR"/>
        </w:rPr>
        <w:t>Jean 1.29</w:t>
      </w:r>
      <w:r>
        <w:rPr>
          <w:lang w:val="fr_FR" w:bidi="fr_FR"/>
        </w:rPr>
        <w:t xml:space="preserve"> ; </w:t>
      </w:r>
      <w:r>
        <w:rPr>
          <w:lang w:val="fr_FR" w:bidi="fr_FR"/>
        </w:rPr>
        <w:t>Éphésiens 1.7</w:t>
      </w:r>
      <w:r>
        <w:rPr>
          <w:lang w:val="fr_FR" w:bidi="fr_FR"/>
        </w:rPr>
        <w:t xml:space="preserve"> ; </w:t>
      </w:r>
      <w:r>
        <w:rPr>
          <w:lang w:val="fr_FR" w:bidi="fr_FR"/>
        </w:rPr>
        <w:t>Colossiens 1.20</w:t>
      </w:r>
      <w:r>
        <w:rPr>
          <w:lang w:val="fr_FR" w:bidi="fr_FR"/>
        </w:rPr>
        <w:t xml:space="preserve"> ; </w:t>
      </w:r>
      <w:r>
        <w:rPr>
          <w:lang w:val="fr_FR" w:bidi="fr_FR"/>
        </w:rPr>
        <w:t>Hébreux 2.16–17</w:t>
      </w:r>
      <w:r>
        <w:rPr>
          <w:lang w:val="fr_FR" w:bidi="fr_FR"/>
        </w:rPr>
        <w:t xml:space="preserve"> ; </w:t>
      </w:r>
      <w:r>
        <w:rPr>
          <w:lang w:val="fr_FR" w:bidi="fr_FR"/>
        </w:rPr>
        <w:t>9.12–14</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