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Gérer les conflits</w:t>
      </w:r>
      <w:r>
        <w:rPr>
          <w:lang w:val="fr_FR" w:bidi="fr_FR"/>
        </w:rPr>
      </w:r>
    </w:p>
    <w:p>
      <w:pPr/>
      <w:r>
        <w:rPr>
          <w:lang w:val="fr_FR" w:bidi="fr_FR"/>
        </w:rPr>
      </w:r>
      <w:r>
        <w:rPr>
          <w:lang w:val="fr_FR" w:bidi="fr_FR"/>
        </w:rPr>
        <w:t>Les conflits avec d'autres personnes sont des situations auxquelles les chrétiens doivent apprendre à faire face. Ces conflits peuvent provenir de personnes incroyantes qui s'attaquent à la foi. D'autres fois, ce sont des désaccords ou des problèmes relationnels entre chrétiens. Savoir gérer les conflits demande de la sagesse et de la prudence, car de petits différents peuvent empirer et devenir de grands problèmes.</w:t>
      </w:r>
    </w:p>
    <w:p>
      <w:pPr/>
      <w:r>
        <w:rPr>
          <w:lang w:val="fr_FR" w:bidi="fr_FR"/>
        </w:rPr>
      </w:r>
      <w:r>
        <w:rPr>
          <w:lang w:val="fr_FR" w:bidi="fr_FR"/>
        </w:rPr>
        <w:t>Paul a connu l'opposition de la part d'autorités civiles et communautaires (</w:t>
      </w:r>
      <w:r>
        <w:rPr>
          <w:lang w:val="fr_FR" w:bidi="fr_FR"/>
        </w:rPr>
        <w:t>Ac 16.22–24</w:t>
      </w:r>
      <w:r>
        <w:rPr>
          <w:lang w:val="fr_FR" w:bidi="fr_FR"/>
        </w:rPr>
        <w:t xml:space="preserve"> ; </w:t>
      </w:r>
      <w:r>
        <w:rPr>
          <w:lang w:val="fr_FR" w:bidi="fr_FR"/>
        </w:rPr>
        <w:t>19.23–34</w:t>
      </w:r>
      <w:r>
        <w:rPr>
          <w:lang w:val="fr_FR" w:bidi="fr_FR"/>
        </w:rPr>
        <w:t>). Moïse a souvent dû réagir aux plaintes et aux mécontentements du peuple d'Israël (p. ex.</w:t>
      </w:r>
      <w:r>
        <w:rPr>
          <w:lang w:val="fr_FR" w:bidi="fr_FR"/>
        </w:rPr>
        <w:t xml:space="preserve"> Ex 17.1–4</w:t>
      </w:r>
      <w:r>
        <w:rPr>
          <w:lang w:val="fr_FR" w:bidi="fr_FR"/>
        </w:rPr>
        <w:t>). Le livre de Néhémie donne un exemple détaillé de la manière dont une personne pieuse peut réagir aux conflits.</w:t>
      </w:r>
    </w:p>
    <w:p>
      <w:pPr>
        <w:pStyle w:val="Heading3"/>
      </w:pPr>
      <w:r>
        <w:rPr>
          <w:lang w:val="fr_FR" w:bidi="fr_FR"/>
        </w:rPr>
        <w:t>L'exemple de Néhémie</w:t>
      </w:r>
    </w:p>
    <w:p>
      <w:pPr/>
      <w:r>
        <w:rPr>
          <w:lang w:val="fr_FR" w:bidi="fr_FR"/>
        </w:rPr>
      </w:r>
      <w:r>
        <w:rPr>
          <w:lang w:val="fr_FR" w:bidi="fr_FR"/>
        </w:rPr>
        <w:t>Alors qu'il cherchait à faire la volonté de Dieu, Néhémie a dû faire face à des conflits internes et externes au peuple de Dieu.</w:t>
      </w:r>
    </w:p>
    <w:p>
      <w:pPr>
        <w:pStyle w:val="Heading4"/>
      </w:pPr>
      <w:r>
        <w:rPr>
          <w:lang w:val="fr_FR" w:bidi="fr_FR"/>
        </w:rPr>
        <w:t>Conflit externe</w:t>
      </w:r>
    </w:p>
    <w:p>
      <w:pPr/>
      <w:r>
        <w:rPr>
          <w:lang w:val="fr_FR" w:bidi="fr_FR"/>
        </w:rPr>
      </w:r>
      <w:r>
        <w:rPr>
          <w:lang w:val="fr_FR" w:bidi="fr_FR"/>
        </w:rPr>
        <w:t>Sanballat, Guéschem et Tobija étaient des étrangers qui s'opposaient fermement à la reconstruction des murs de Jérusalem et qui essayaient de ridiculiser Néhémie (</w:t>
      </w:r>
      <w:r>
        <w:rPr>
          <w:lang w:val="fr_FR" w:bidi="fr_FR"/>
        </w:rPr>
        <w:t>Né 2.10</w:t>
      </w:r>
      <w:r>
        <w:rPr>
          <w:lang w:val="fr_FR" w:bidi="fr_FR"/>
        </w:rPr>
        <w:t xml:space="preserve">, </w:t>
      </w:r>
      <w:r>
        <w:rPr>
          <w:lang w:val="fr_FR" w:bidi="fr_FR"/>
        </w:rPr>
        <w:t xml:space="preserve">2.19 </w:t>
      </w:r>
      <w:r>
        <w:rPr>
          <w:lang w:val="fr_FR" w:bidi="fr_FR"/>
        </w:rPr>
        <w:t xml:space="preserve">; </w:t>
      </w:r>
      <w:r>
        <w:rPr>
          <w:lang w:val="fr_FR" w:bidi="fr_FR"/>
        </w:rPr>
        <w:t>4.1–3</w:t>
      </w:r>
      <w:r>
        <w:rPr>
          <w:lang w:val="fr_FR" w:bidi="fr_FR"/>
        </w:rPr>
        <w:t>). Arabes, Ammonites et Asdodiens faisait partie de cette opposition et complotaient d'attaquer les bâtisseurs (</w:t>
      </w:r>
      <w:r>
        <w:rPr>
          <w:lang w:val="fr_FR" w:bidi="fr_FR"/>
        </w:rPr>
        <w:t>4.7–9</w:t>
      </w:r>
      <w:r>
        <w:rPr>
          <w:lang w:val="fr_FR" w:bidi="fr_FR"/>
        </w:rPr>
        <w:t xml:space="preserve">, </w:t>
      </w:r>
      <w:r>
        <w:rPr>
          <w:lang w:val="fr_FR" w:bidi="fr_FR"/>
        </w:rPr>
        <w:t>11</w:t>
      </w:r>
      <w:r>
        <w:rPr>
          <w:lang w:val="fr_FR" w:bidi="fr_FR"/>
        </w:rPr>
        <w:t>).</w:t>
      </w:r>
    </w:p>
    <w:p>
      <w:pPr/>
      <w:r>
        <w:rPr>
          <w:lang w:val="fr_FR" w:bidi="fr_FR"/>
        </w:rPr>
      </w:r>
      <w:r>
        <w:rPr>
          <w:lang w:val="fr_FR" w:bidi="fr_FR"/>
        </w:rPr>
        <w:t>Pour faire face à cette menace, Néhémie a mis en place des gardes et un moyen de sonner l'alarme. Il a prié pour chercher l'aide de Dieu et les Israélites ont continué à travailler (</w:t>
      </w:r>
      <w:r>
        <w:rPr>
          <w:lang w:val="fr_FR" w:bidi="fr_FR"/>
        </w:rPr>
        <w:t>4.6–23</w:t>
      </w:r>
      <w:r>
        <w:rPr>
          <w:lang w:val="fr_FR" w:bidi="fr_FR"/>
        </w:rPr>
        <w:t>). Les ennemis d'Israël, dans leur frustration, ont essayé plusieurs fois de discréditer ou de tuer Néhémie (</w:t>
      </w:r>
      <w:r>
        <w:rPr>
          <w:lang w:val="fr_FR" w:bidi="fr_FR"/>
        </w:rPr>
        <w:t>6.1–14</w:t>
      </w:r>
      <w:r>
        <w:rPr>
          <w:lang w:val="fr_FR" w:bidi="fr_FR"/>
        </w:rPr>
        <w:t>). Pourtant, il a sagement évité ou arrêté leurs plans tout en restant concentré sur sa mission pour servir Dieu.</w:t>
      </w:r>
    </w:p>
    <w:p>
      <w:pPr>
        <w:pStyle w:val="Heading4"/>
      </w:pPr>
      <w:r>
        <w:rPr>
          <w:lang w:val="fr_FR" w:bidi="fr_FR"/>
        </w:rPr>
        <w:t>Conflit interne</w:t>
      </w:r>
    </w:p>
    <w:p>
      <w:pPr/>
      <w:r>
        <w:rPr>
          <w:lang w:val="fr_FR" w:bidi="fr_FR"/>
        </w:rPr>
      </w:r>
      <w:r>
        <w:rPr>
          <w:lang w:val="fr_FR" w:bidi="fr_FR"/>
        </w:rPr>
        <w:t>Il y avait également des problèmes parmi le peuple de Dieu que Néhémie a dû gérer. Les Juifs riches exploitaient les Juifs pauvres en leur faisant des prêts avec des intérêts élevés (</w:t>
      </w:r>
      <w:r>
        <w:rPr>
          <w:lang w:val="fr_FR" w:bidi="fr_FR"/>
        </w:rPr>
        <w:t>5.1–13</w:t>
      </w:r>
      <w:r>
        <w:rPr>
          <w:lang w:val="fr_FR" w:bidi="fr_FR"/>
        </w:rPr>
        <w:t>). Certains Juifs avaient épousé des femmes étrangères qui adoraient d'autres dieux (</w:t>
      </w:r>
      <w:r>
        <w:rPr>
          <w:lang w:val="fr_FR" w:bidi="fr_FR"/>
        </w:rPr>
        <w:t>13.23–30</w:t>
      </w:r>
      <w:r>
        <w:rPr>
          <w:lang w:val="fr_FR" w:bidi="fr_FR"/>
        </w:rPr>
        <w:t>). Beaucoup ne donnaient pas la dîme ou n'observaient pas le jour du sabbat (</w:t>
      </w:r>
      <w:r>
        <w:rPr>
          <w:lang w:val="fr_FR" w:bidi="fr_FR"/>
        </w:rPr>
        <w:t>10.31–39</w:t>
      </w:r>
      <w:r>
        <w:rPr>
          <w:lang w:val="fr_FR" w:bidi="fr_FR"/>
        </w:rPr>
        <w:t xml:space="preserve"> ; </w:t>
      </w:r>
      <w:r>
        <w:rPr>
          <w:lang w:val="fr_FR" w:bidi="fr_FR"/>
        </w:rPr>
        <w:t>13.10–22</w:t>
      </w:r>
      <w:r>
        <w:rPr>
          <w:lang w:val="fr_FR" w:bidi="fr_FR"/>
        </w:rPr>
        <w:t xml:space="preserve">). Enfin, Néhémie a dû s'opposer au sacrificateur </w:t>
      </w:r>
      <w:r>
        <w:rPr>
          <w:lang w:val="fr_FR" w:bidi="fr_FR"/>
        </w:rPr>
        <w:t>Éliaschib</w:t>
      </w:r>
      <w:r>
        <w:rPr>
          <w:lang w:val="fr_FR" w:bidi="fr_FR"/>
        </w:rPr>
        <w:t>, qui avait permis à Tobija, un Ammonite, d'utiliser l'un des entrepôts du Temple (</w:t>
      </w:r>
      <w:r>
        <w:rPr>
          <w:lang w:val="fr_FR" w:bidi="fr_FR"/>
        </w:rPr>
        <w:t>13.4–9</w:t>
      </w:r>
      <w:r>
        <w:rPr>
          <w:lang w:val="fr_FR" w:bidi="fr_FR"/>
        </w:rPr>
        <w:t>).</w:t>
      </w:r>
    </w:p>
    <w:p>
      <w:pPr/>
      <w:r>
        <w:rPr>
          <w:lang w:val="fr_FR" w:bidi="fr_FR"/>
        </w:rPr>
      </w:r>
      <w:r>
        <w:rPr>
          <w:lang w:val="fr_FR" w:bidi="fr_FR"/>
        </w:rPr>
        <w:t>Dans chaque cas, la conduite de Néhémie a rappelé ce qu'avaient fait d'autres hommes de Dieu avant lui. Par exemple, Moïse s'est opposé au culte du veau d'or (</w:t>
      </w:r>
      <w:r>
        <w:rPr>
          <w:lang w:val="fr_FR" w:bidi="fr_FR"/>
        </w:rPr>
        <w:t>Ex 32</w:t>
      </w:r>
      <w:r>
        <w:rPr>
          <w:lang w:val="fr_FR" w:bidi="fr_FR"/>
        </w:rPr>
        <w:t>). Le prophète Samuel s'est opposé à ceux qui participaient au culte de Baal (</w:t>
      </w:r>
      <w:r>
        <w:rPr>
          <w:lang w:val="fr_FR" w:bidi="fr_FR"/>
        </w:rPr>
        <w:t>1S 7.3–8</w:t>
      </w:r>
      <w:r>
        <w:rPr>
          <w:lang w:val="fr_FR" w:bidi="fr_FR"/>
        </w:rPr>
        <w:t>). Le prophète Nathan a confronté le roi David lorsqu'il a péché (</w:t>
      </w:r>
      <w:r>
        <w:rPr>
          <w:lang w:val="fr_FR" w:bidi="fr_FR"/>
        </w:rPr>
        <w:t>2S 12.1–14</w:t>
      </w:r>
      <w:r>
        <w:rPr>
          <w:lang w:val="fr_FR" w:bidi="fr_FR"/>
        </w:rPr>
        <w:t>). Le roi Josaphat a fait confiance à Dieu pour vaincre un ennemi plus fort (</w:t>
      </w:r>
      <w:r>
        <w:rPr>
          <w:lang w:val="fr_FR" w:bidi="fr_FR"/>
        </w:rPr>
        <w:t>2Ch 20.1–37</w:t>
      </w:r>
      <w:r>
        <w:rPr>
          <w:lang w:val="fr_FR" w:bidi="fr_FR"/>
        </w:rPr>
        <w:t>).</w:t>
      </w:r>
    </w:p>
    <w:p>
      <w:pPr/>
      <w:r>
        <w:rPr>
          <w:lang w:val="fr_FR" w:bidi="fr_FR"/>
        </w:rPr>
      </w:r>
      <w:r>
        <w:rPr>
          <w:lang w:val="fr_FR" w:bidi="fr_FR"/>
        </w:rPr>
        <w:t>Comme tous ces hommes de Dieu, Néhémie a défendu ce qui était juste. Il n'a pas permis à ceux qu'il dirigeait de faire ce qu'ils voulaient. Il a refusé de se laisser décourager ou intimider par des problèmes internes ou des menaces externes. Il s'est constamment appuyé sur Dieu pour obtenir la sagesse et les bénédictions nécessaires à son travail.</w:t>
      </w:r>
    </w:p>
    <w:p>
      <w:pPr>
        <w:pStyle w:val="Heading3"/>
      </w:pPr>
      <w:r>
        <w:rPr>
          <w:lang w:val="fr_FR" w:bidi="fr_FR"/>
        </w:rPr>
        <w:t>Jésus et l'apôtre Paul</w:t>
      </w:r>
    </w:p>
    <w:p>
      <w:pPr/>
      <w:r>
        <w:rPr>
          <w:lang w:val="fr_FR" w:bidi="fr_FR"/>
        </w:rPr>
      </w:r>
      <w:r>
        <w:rPr>
          <w:lang w:val="fr_FR" w:bidi="fr_FR"/>
        </w:rPr>
        <w:t>Jésus et l'apôtre Paul ont tous les deux donné des instructions sur ce qu'il faut faire lorsqu'il y a conflit entre chrétiens (</w:t>
      </w:r>
      <w:r>
        <w:rPr>
          <w:lang w:val="fr_FR" w:bidi="fr_FR"/>
        </w:rPr>
        <w:t>Mt 5.23–26</w:t>
      </w:r>
      <w:r>
        <w:rPr>
          <w:lang w:val="fr_FR" w:bidi="fr_FR"/>
        </w:rPr>
        <w:t xml:space="preserve"> ; </w:t>
      </w:r>
      <w:r>
        <w:rPr>
          <w:lang w:val="fr_FR" w:bidi="fr_FR"/>
        </w:rPr>
        <w:t>18.15–17</w:t>
      </w:r>
      <w:r>
        <w:rPr>
          <w:lang w:val="fr_FR" w:bidi="fr_FR"/>
        </w:rPr>
        <w:t xml:space="preserve"> ; </w:t>
      </w:r>
      <w:r>
        <w:rPr>
          <w:lang w:val="fr_FR" w:bidi="fr_FR"/>
        </w:rPr>
        <w:t>1Co 6.1–8</w:t>
      </w:r>
      <w:r>
        <w:rPr>
          <w:lang w:val="fr_FR" w:bidi="fr_FR"/>
        </w:rPr>
        <w:t xml:space="preserve"> ; </w:t>
      </w:r>
      <w:r>
        <w:rPr>
          <w:lang w:val="fr_FR" w:bidi="fr_FR"/>
        </w:rPr>
        <w:t>10.23–33</w:t>
      </w:r>
      <w:r>
        <w:rPr>
          <w:lang w:val="fr_FR" w:bidi="fr_FR"/>
        </w:rPr>
        <w:t>) ou opposition de la part de personnes non-chrétiennes (</w:t>
      </w:r>
      <w:r>
        <w:rPr>
          <w:lang w:val="fr_FR" w:bidi="fr_FR"/>
        </w:rPr>
        <w:t>Mt 5.43–47</w:t>
      </w:r>
      <w:r>
        <w:rPr>
          <w:lang w:val="fr_FR" w:bidi="fr_FR"/>
        </w:rPr>
        <w:t xml:space="preserve"> ; </w:t>
      </w:r>
      <w:r>
        <w:rPr>
          <w:lang w:val="fr_FR" w:bidi="fr_FR"/>
        </w:rPr>
        <w:t>Rm 12.14–21</w:t>
      </w:r>
      <w:r>
        <w:rPr>
          <w:lang w:val="fr_FR" w:bidi="fr_FR"/>
        </w:rPr>
        <w:t>). Malheureusement, les actions justes de chrétiens, peu importe leur bonté, ne garantissent pas que l'opposition ne va pas continuer. La Bible nous encourage à faire face à l'opposition comme Néhémie. Nous devons faire preuve de sagesse, de patience et de la détermination, et nous devons nous en remettre à Dieu dans la prière.</w:t>
      </w:r>
    </w:p>
    <w:p>
      <w:pPr/>
      <w:r>
        <w:rPr>
          <w:lang w:val="fr_FR" w:bidi="fr_FR"/>
        </w:rPr>
      </w:r>
      <w:r>
        <w:rPr>
          <w:u w:val="single"/>
          <w:lang w:val="fr_FR" w:bidi="fr_FR"/>
        </w:rPr>
        <w:t>Passages pour une étude plus approfondie</w:t>
      </w:r>
    </w:p>
    <w:p>
      <w:pPr/>
      <w:r>
        <w:rPr>
          <w:lang w:val="fr_FR" w:bidi="fr_FR"/>
        </w:rPr>
      </w:r>
      <w:r>
        <w:rPr>
          <w:lang w:val="fr_FR" w:bidi="fr_FR"/>
        </w:rPr>
        <w:t>Genèse 13.5–13</w:t>
      </w:r>
      <w:r>
        <w:rPr>
          <w:lang w:val="fr_FR" w:bidi="fr_FR"/>
        </w:rPr>
        <w:t xml:space="preserve"> ; </w:t>
      </w:r>
      <w:r>
        <w:rPr>
          <w:lang w:val="fr_FR" w:bidi="fr_FR"/>
        </w:rPr>
        <w:t>26.12–35</w:t>
      </w:r>
      <w:r>
        <w:rPr>
          <w:lang w:val="fr_FR" w:bidi="fr_FR"/>
        </w:rPr>
        <w:t xml:space="preserve"> ; </w:t>
      </w:r>
      <w:r>
        <w:rPr>
          <w:lang w:val="fr_FR" w:bidi="fr_FR"/>
        </w:rPr>
        <w:t>Exode 32.1–35</w:t>
      </w:r>
      <w:r>
        <w:rPr>
          <w:lang w:val="fr_FR" w:bidi="fr_FR"/>
        </w:rPr>
        <w:t xml:space="preserve"> ; </w:t>
      </w:r>
      <w:r>
        <w:rPr>
          <w:lang w:val="fr_FR" w:bidi="fr_FR"/>
        </w:rPr>
        <w:t>1 Samuel 7.3–8</w:t>
      </w:r>
      <w:r>
        <w:rPr>
          <w:lang w:val="fr_FR" w:bidi="fr_FR"/>
        </w:rPr>
        <w:t xml:space="preserve"> ; </w:t>
      </w:r>
      <w:r>
        <w:rPr>
          <w:lang w:val="fr_FR" w:bidi="fr_FR"/>
        </w:rPr>
        <w:t>2 Samuel 12.1–31</w:t>
      </w:r>
      <w:r>
        <w:rPr>
          <w:lang w:val="fr_FR" w:bidi="fr_FR"/>
        </w:rPr>
        <w:t xml:space="preserve"> ; </w:t>
      </w:r>
      <w:r>
        <w:rPr>
          <w:lang w:val="fr_FR" w:bidi="fr_FR"/>
        </w:rPr>
        <w:t>19.41–43</w:t>
      </w:r>
      <w:r>
        <w:rPr>
          <w:lang w:val="fr_FR" w:bidi="fr_FR"/>
        </w:rPr>
        <w:t xml:space="preserve"> ; </w:t>
      </w:r>
      <w:r>
        <w:rPr>
          <w:lang w:val="fr_FR" w:bidi="fr_FR"/>
        </w:rPr>
        <w:t>2 Chroniques 20.1–37</w:t>
      </w:r>
      <w:r>
        <w:rPr>
          <w:lang w:val="fr_FR" w:bidi="fr_FR"/>
        </w:rPr>
        <w:t xml:space="preserve"> ; </w:t>
      </w:r>
      <w:r>
        <w:rPr>
          <w:lang w:val="fr_FR" w:bidi="fr_FR"/>
        </w:rPr>
        <w:t>34.3–7</w:t>
      </w:r>
      <w:r>
        <w:rPr>
          <w:lang w:val="fr_FR" w:bidi="fr_FR"/>
        </w:rPr>
        <w:t xml:space="preserve"> ; </w:t>
      </w:r>
      <w:r>
        <w:rPr>
          <w:lang w:val="fr_FR" w:bidi="fr_FR"/>
        </w:rPr>
        <w:t>Néhémie 2.19–20</w:t>
      </w:r>
      <w:r>
        <w:rPr>
          <w:lang w:val="fr_FR" w:bidi="fr_FR"/>
        </w:rPr>
        <w:t xml:space="preserve"> ; </w:t>
      </w:r>
      <w:r>
        <w:rPr>
          <w:lang w:val="fr_FR" w:bidi="fr_FR"/>
        </w:rPr>
        <w:t>4.1–23</w:t>
      </w:r>
      <w:r>
        <w:rPr>
          <w:lang w:val="fr_FR" w:bidi="fr_FR"/>
        </w:rPr>
        <w:t xml:space="preserve"> ; </w:t>
      </w:r>
      <w:r>
        <w:rPr>
          <w:lang w:val="fr_FR" w:bidi="fr_FR"/>
        </w:rPr>
        <w:t>5.1–13</w:t>
      </w:r>
      <w:r>
        <w:rPr>
          <w:lang w:val="fr_FR" w:bidi="fr_FR"/>
        </w:rPr>
        <w:t xml:space="preserve"> ; </w:t>
      </w:r>
      <w:r>
        <w:rPr>
          <w:lang w:val="fr_FR" w:bidi="fr_FR"/>
        </w:rPr>
        <w:t>6.1–14</w:t>
      </w:r>
      <w:r>
        <w:rPr>
          <w:lang w:val="fr_FR" w:bidi="fr_FR"/>
        </w:rPr>
        <w:t xml:space="preserve"> ; </w:t>
      </w:r>
      <w:r>
        <w:rPr>
          <w:lang w:val="fr_FR" w:bidi="fr_FR"/>
        </w:rPr>
        <w:t>13.4–28</w:t>
      </w:r>
      <w:r>
        <w:rPr>
          <w:lang w:val="fr_FR" w:bidi="fr_FR"/>
        </w:rPr>
        <w:t xml:space="preserve"> ; </w:t>
      </w:r>
      <w:r>
        <w:rPr>
          <w:lang w:val="fr_FR" w:bidi="fr_FR"/>
        </w:rPr>
        <w:t>Psaume 140.1–3</w:t>
      </w:r>
      <w:r>
        <w:rPr>
          <w:lang w:val="fr_FR" w:bidi="fr_FR"/>
        </w:rPr>
        <w:t xml:space="preserve"> ; </w:t>
      </w:r>
      <w:r>
        <w:rPr>
          <w:lang w:val="fr_FR" w:bidi="fr_FR"/>
        </w:rPr>
        <w:t>Proverbes 13.10</w:t>
      </w:r>
      <w:r>
        <w:rPr>
          <w:lang w:val="fr_FR" w:bidi="fr_FR"/>
        </w:rPr>
        <w:t xml:space="preserve"> ; </w:t>
      </w:r>
      <w:r>
        <w:rPr>
          <w:lang w:val="fr_FR" w:bidi="fr_FR"/>
        </w:rPr>
        <w:t>17.14</w:t>
      </w:r>
      <w:r>
        <w:rPr>
          <w:lang w:val="fr_FR" w:bidi="fr_FR"/>
        </w:rPr>
        <w:t xml:space="preserve">, </w:t>
      </w:r>
      <w:r>
        <w:rPr>
          <w:lang w:val="fr_FR" w:bidi="fr_FR"/>
        </w:rPr>
        <w:t>19</w:t>
      </w:r>
      <w:r>
        <w:rPr>
          <w:lang w:val="fr_FR" w:bidi="fr_FR"/>
        </w:rPr>
        <w:t xml:space="preserve"> ; </w:t>
      </w:r>
      <w:r>
        <w:rPr>
          <w:lang w:val="fr_FR" w:bidi="fr_FR"/>
        </w:rPr>
        <w:t>25.8</w:t>
      </w:r>
      <w:r>
        <w:rPr>
          <w:lang w:val="fr_FR" w:bidi="fr_FR"/>
        </w:rPr>
        <w:t xml:space="preserve"> ; </w:t>
      </w:r>
      <w:r>
        <w:rPr>
          <w:lang w:val="fr_FR" w:bidi="fr_FR"/>
        </w:rPr>
        <w:t>26.17</w:t>
      </w:r>
      <w:r>
        <w:rPr>
          <w:lang w:val="fr_FR" w:bidi="fr_FR"/>
        </w:rPr>
        <w:t xml:space="preserve">, </w:t>
      </w:r>
      <w:r>
        <w:rPr>
          <w:lang w:val="fr_FR" w:bidi="fr_FR"/>
        </w:rPr>
        <w:t>21</w:t>
      </w:r>
      <w:r>
        <w:rPr>
          <w:lang w:val="fr_FR" w:bidi="fr_FR"/>
        </w:rPr>
        <w:t xml:space="preserve"> ; </w:t>
      </w:r>
      <w:r>
        <w:rPr>
          <w:lang w:val="fr_FR" w:bidi="fr_FR"/>
        </w:rPr>
        <w:t>29.22</w:t>
      </w:r>
      <w:r>
        <w:rPr>
          <w:lang w:val="fr_FR" w:bidi="fr_FR"/>
        </w:rPr>
        <w:t xml:space="preserve"> ; </w:t>
      </w:r>
      <w:r>
        <w:rPr>
          <w:lang w:val="fr_FR" w:bidi="fr_FR"/>
        </w:rPr>
        <w:t>Habakkuk 1.3</w:t>
      </w:r>
      <w:r>
        <w:rPr>
          <w:lang w:val="fr_FR" w:bidi="fr_FR"/>
        </w:rPr>
        <w:t xml:space="preserve"> ; </w:t>
      </w:r>
      <w:r>
        <w:rPr>
          <w:lang w:val="fr_FR" w:bidi="fr_FR"/>
        </w:rPr>
        <w:t>Actes 23.6–11</w:t>
      </w:r>
      <w:r>
        <w:rPr>
          <w:lang w:val="fr_FR" w:bidi="fr_FR"/>
        </w:rPr>
        <w:t xml:space="preserve"> ; </w:t>
      </w:r>
      <w:r>
        <w:rPr>
          <w:lang w:val="fr_FR" w:bidi="fr_FR"/>
        </w:rPr>
        <w:t>2 Corinthiens 7.5–6</w:t>
      </w:r>
      <w:r>
        <w:rPr>
          <w:lang w:val="fr_FR" w:bidi="fr_FR"/>
        </w:rPr>
        <w:t xml:space="preserve"> ; </w:t>
      </w:r>
      <w:r>
        <w:rPr>
          <w:lang w:val="fr_FR" w:bidi="fr_FR"/>
        </w:rPr>
        <w:t>Éphésiens 6.10–18</w:t>
      </w:r>
      <w:r>
        <w:rPr>
          <w:lang w:val="fr_FR" w:bidi="fr_FR"/>
        </w:rPr>
        <w:t xml:space="preserve"> ; </w:t>
      </w:r>
      <w:r>
        <w:rPr>
          <w:lang w:val="fr_FR" w:bidi="fr_FR"/>
        </w:rPr>
        <w:t>Philippiens 2.3</w:t>
      </w:r>
      <w:r>
        <w:rPr>
          <w:lang w:val="fr_FR" w:bidi="fr_FR"/>
        </w:rPr>
        <w:t xml:space="preserve"> ; </w:t>
      </w:r>
      <w:r>
        <w:rPr>
          <w:lang w:val="fr_FR" w:bidi="fr_FR"/>
        </w:rPr>
        <w:t>1 Timothée 6.4</w:t>
      </w:r>
      <w:r>
        <w:rPr>
          <w:lang w:val="fr_FR" w:bidi="fr_FR"/>
        </w:rPr>
        <w:t xml:space="preserve"> ; </w:t>
      </w:r>
      <w:r>
        <w:rPr>
          <w:lang w:val="fr_FR" w:bidi="fr_FR"/>
        </w:rPr>
        <w:t>2 Timothée 2.14</w:t>
      </w:r>
      <w:r>
        <w:rPr>
          <w:lang w:val="fr_FR" w:bidi="fr_FR"/>
        </w:rPr>
        <w:t xml:space="preserve">, </w:t>
      </w:r>
      <w:r>
        <w:rPr>
          <w:lang w:val="fr_FR" w:bidi="fr_FR"/>
        </w:rPr>
        <w:t>23–26</w:t>
      </w:r>
      <w:r>
        <w:rPr>
          <w:lang w:val="fr_FR" w:bidi="fr_FR"/>
        </w:rPr>
        <w:t xml:space="preserve"> ; </w:t>
      </w:r>
      <w:r>
        <w:rPr>
          <w:lang w:val="fr_FR" w:bidi="fr_FR"/>
        </w:rPr>
        <w:t>Tite 2.15</w:t>
      </w:r>
      <w:r>
        <w:rPr>
          <w:lang w:val="fr_FR" w:bidi="fr_FR"/>
        </w:rPr>
        <w:t xml:space="preserve"> ; </w:t>
      </w:r>
      <w:r>
        <w:rPr>
          <w:lang w:val="fr_FR" w:bidi="fr_FR"/>
        </w:rPr>
        <w:t>Jacques 3.13–18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