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Hérésies à l'époque de l'Église primitive</w:t>
      </w:r>
      <w:r>
        <w:rPr>
          <w:lang w:val="fr_FR" w:bidi="fr_FR"/>
        </w:rPr>
      </w:r>
    </w:p>
    <w:p>
      <w:pPr>
        <w:pStyle w:val="Heading3"/>
      </w:pPr>
      <w:r>
        <w:rPr>
          <w:lang w:val="fr_FR" w:bidi="fr_FR"/>
        </w:rPr>
        <w:t>Hérésie</w:t>
      </w:r>
    </w:p>
    <w:p>
      <w:pPr/>
      <w:r>
        <w:rPr>
          <w:lang w:val="fr_FR" w:bidi="fr_FR"/>
        </w:rPr>
      </w:r>
      <w:r>
        <w:rPr>
          <w:lang w:val="fr_FR" w:bidi="fr_FR"/>
        </w:rPr>
        <w:t xml:space="preserve">Le mot « hérésie » vient du grec </w:t>
      </w:r>
      <w:r>
        <w:rPr>
          <w:i/>
          <w:lang w:val="fr_FR" w:bidi="fr_FR"/>
        </w:rPr>
        <w:t>hairesis</w:t>
      </w:r>
      <w:r>
        <w:rPr>
          <w:lang w:val="fr_FR" w:bidi="fr_FR"/>
        </w:rPr>
        <w:t xml:space="preserve">, qui signifie « choix ». À l'origine et à l'époque du Nouveau Testament (NT), ce mot n'a pas le sens négatif qu'il a aujourd'hui de doctrine condamnée car étant contraire aux normes établies. </w:t>
      </w:r>
    </w:p>
    <w:p>
      <w:pPr/>
      <w:r>
        <w:rPr>
          <w:lang w:val="fr_FR" w:bidi="fr_FR"/>
        </w:rPr>
      </w:r>
      <w:r>
        <w:rPr>
          <w:lang w:val="fr_FR" w:bidi="fr_FR"/>
        </w:rPr>
        <w:t xml:space="preserve">Dans le NT, le mot </w:t>
      </w:r>
      <w:r>
        <w:rPr>
          <w:i/>
          <w:lang w:val="fr_FR" w:bidi="fr_FR"/>
        </w:rPr>
        <w:t>hairesis</w:t>
      </w:r>
      <w:r>
        <w:rPr>
          <w:lang w:val="fr_FR" w:bidi="fr_FR"/>
        </w:rPr>
        <w:t xml:space="preserve"> désigne un groupe comme un </w:t>
      </w:r>
      <w:r>
        <w:rPr>
          <w:i/>
          <w:lang w:val="fr_FR" w:bidi="fr_FR"/>
        </w:rPr>
        <w:t>parti</w:t>
      </w:r>
      <w:r>
        <w:rPr>
          <w:lang w:val="fr_FR" w:bidi="fr_FR"/>
        </w:rPr>
        <w:t xml:space="preserve"> ou une </w:t>
      </w:r>
      <w:r>
        <w:rPr>
          <w:i/>
          <w:lang w:val="fr_FR" w:bidi="fr_FR"/>
        </w:rPr>
        <w:t>faction</w:t>
      </w:r>
      <w:r>
        <w:rPr>
          <w:lang w:val="fr_FR" w:bidi="fr_FR"/>
        </w:rPr>
        <w:t>. Par exemple, les sadducéens étaient un des partis religieux du judaïsme, tout comme les pharisiens (</w:t>
      </w:r>
      <w:r>
        <w:rPr>
          <w:lang w:val="fr_FR" w:bidi="fr_FR"/>
        </w:rPr>
        <w:t>Ac 5.17</w:t>
      </w:r>
      <w:r>
        <w:rPr>
          <w:lang w:val="fr_FR" w:bidi="fr_FR"/>
        </w:rPr>
        <w:t xml:space="preserve"> ; </w:t>
      </w:r>
      <w:r>
        <w:rPr>
          <w:lang w:val="fr_FR" w:bidi="fr_FR"/>
        </w:rPr>
        <w:t>15.5</w:t>
      </w:r>
      <w:r>
        <w:rPr>
          <w:lang w:val="fr_FR" w:bidi="fr_FR"/>
        </w:rPr>
        <w:t>). Les premiers disciples de Jésus ont été appelés « la secte des Nazaréens » (</w:t>
      </w:r>
      <w:r>
        <w:rPr>
          <w:lang w:val="fr_FR" w:bidi="fr_FR"/>
        </w:rPr>
        <w:t>Ac 24.5</w:t>
      </w:r>
      <w:r>
        <w:rPr>
          <w:lang w:val="fr_FR" w:bidi="fr_FR"/>
        </w:rPr>
        <w:t xml:space="preserve">). Dans chacun de ces versets, </w:t>
      </w:r>
      <w:r>
        <w:rPr>
          <w:i/>
          <w:lang w:val="fr_FR" w:bidi="fr_FR"/>
        </w:rPr>
        <w:t>hairesis</w:t>
      </w:r>
      <w:r>
        <w:rPr>
          <w:lang w:val="fr_FR" w:bidi="fr_FR"/>
        </w:rPr>
        <w:t xml:space="preserve"> signifie simplement un groupe religieux. Paul a repris les croyants de Corinthe, parmi lesquels il y avait plusieurs factions ou </w:t>
      </w:r>
      <w:r>
        <w:rPr>
          <w:i/>
          <w:lang w:val="fr_FR" w:bidi="fr_FR"/>
        </w:rPr>
        <w:t>sectes</w:t>
      </w:r>
      <w:r>
        <w:rPr>
          <w:lang w:val="fr_FR" w:bidi="fr_FR"/>
        </w:rPr>
        <w:t xml:space="preserve"> (</w:t>
      </w:r>
      <w:r>
        <w:rPr>
          <w:lang w:val="fr_FR" w:bidi="fr_FR"/>
        </w:rPr>
        <w:t>1Co 11.19</w:t>
      </w:r>
      <w:r>
        <w:rPr>
          <w:lang w:val="fr_FR" w:bidi="fr_FR"/>
        </w:rPr>
        <w:t xml:space="preserve">). </w:t>
      </w:r>
    </w:p>
    <w:p>
      <w:pPr/>
      <w:r>
        <w:rPr>
          <w:lang w:val="fr_FR" w:bidi="fr_FR"/>
        </w:rPr>
      </w:r>
      <w:r>
        <w:rPr>
          <w:lang w:val="fr_FR" w:bidi="fr_FR"/>
        </w:rPr>
        <w:t>Pierre utilise le terme pour désigner des enseignements s'opposant aux vérités enseignées par les apôtres (</w:t>
      </w:r>
      <w:r>
        <w:rPr>
          <w:lang w:val="fr_FR" w:bidi="fr_FR"/>
        </w:rPr>
        <w:t>2P 2.1</w:t>
      </w:r>
      <w:r>
        <w:rPr>
          <w:lang w:val="fr_FR" w:bidi="fr_FR"/>
        </w:rPr>
        <w:t xml:space="preserve">). Plus tard, le mot </w:t>
      </w:r>
      <w:r>
        <w:rPr>
          <w:i/>
          <w:lang w:val="fr_FR" w:bidi="fr_FR"/>
        </w:rPr>
        <w:t>hérésie</w:t>
      </w:r>
      <w:r>
        <w:rPr>
          <w:lang w:val="fr_FR" w:bidi="fr_FR"/>
        </w:rPr>
        <w:t xml:space="preserve"> en est venu à signifier un enseignement qui s'écarte de la norme et pousse les gens à quitter l'orthodoxie (les croyances traditionnelles et établies). C'est ainsi que le terme </w:t>
      </w:r>
      <w:r>
        <w:rPr>
          <w:i/>
          <w:lang w:val="fr_FR" w:bidi="fr_FR"/>
        </w:rPr>
        <w:t>hérésie</w:t>
      </w:r>
      <w:r>
        <w:rPr>
          <w:lang w:val="fr_FR" w:bidi="fr_FR"/>
        </w:rPr>
        <w:t xml:space="preserve"> est généralement compris aujourd'hui. Il désigne un enseignement erroné qui nuit à la foi de certains chrétiens et crée des divisions au sein de l'Église.</w:t>
      </w:r>
    </w:p>
    <w:p>
      <w:pPr>
        <w:pStyle w:val="Heading3"/>
      </w:pPr>
      <w:r>
        <w:rPr>
          <w:lang w:val="fr_FR" w:bidi="fr_FR"/>
        </w:rPr>
        <w:t>Les deux premières hérésies</w:t>
      </w:r>
    </w:p>
    <w:p>
      <w:pPr/>
      <w:r>
        <w:rPr>
          <w:lang w:val="fr_FR" w:bidi="fr_FR"/>
        </w:rPr>
      </w:r>
      <w:r>
        <w:rPr>
          <w:lang w:val="fr_FR" w:bidi="fr_FR"/>
        </w:rPr>
        <w:t>Deux grandes hérésies ont commencé à se manifester au temps du NT : le gnosticisme et le docétisme.</w:t>
      </w:r>
    </w:p>
    <w:p>
      <w:pPr>
        <w:pStyle w:val="Heading4"/>
      </w:pPr>
      <w:r>
        <w:rPr>
          <w:lang w:val="fr_FR" w:bidi="fr_FR"/>
        </w:rPr>
        <w:t>Le gnosticisme</w:t>
      </w:r>
    </w:p>
    <w:p>
      <w:pPr/>
      <w:r>
        <w:rPr>
          <w:lang w:val="fr_FR" w:bidi="fr_FR"/>
        </w:rPr>
      </w:r>
      <w:r>
        <w:rPr>
          <w:lang w:val="fr_FR" w:bidi="fr_FR"/>
        </w:rPr>
        <w:t>Le gnosticisme prétendait détenir une connaissance supérieure et des secrets spirituels seulement disponibles aux initiés. De nombreux gnostiques croyaient en une hiérarchie d'êtres spirituels. Au sommet se trouvait un dieu éternel, d'où émanait une série d'êtres spirituels inférieurs. Parmi ceux-ci se trouvait le dieu créateur, considéré comme maléfique. Ce dieu créateur avait créé le monde physique, y compris les êtres humains.</w:t>
      </w:r>
    </w:p>
    <w:p>
      <w:pPr/>
      <w:r>
        <w:rPr>
          <w:lang w:val="fr_FR" w:bidi="fr_FR"/>
        </w:rPr>
      </w:r>
      <w:r>
        <w:rPr>
          <w:lang w:val="fr_FR" w:bidi="fr_FR"/>
        </w:rPr>
        <w:t xml:space="preserve">Tout comme l'avait enseigné le philosophe grec Platon, ces gnostiques croyaient que tout ce qui était physique était mauvais. Cependant, il existait un domaine spirituel, qui était considéré plus « réel ». Leur objectif était de trouver la « semence » spirituelle en eux-mêmes au travers de la connaissance supérieure et secrète (appelée en grec, </w:t>
      </w:r>
      <w:r>
        <w:rPr>
          <w:i/>
          <w:lang w:val="fr_FR" w:bidi="fr_FR"/>
        </w:rPr>
        <w:t>gnōsis</w:t>
      </w:r>
      <w:r>
        <w:rPr>
          <w:lang w:val="fr_FR" w:bidi="fr_FR"/>
        </w:rPr>
        <w:t>).</w:t>
      </w:r>
    </w:p>
    <w:p>
      <w:pPr/>
      <w:r>
        <w:rPr>
          <w:lang w:val="fr_FR" w:bidi="fr_FR"/>
        </w:rPr>
      </w:r>
      <w:r>
        <w:rPr>
          <w:lang w:val="fr_FR" w:bidi="fr_FR"/>
        </w:rPr>
        <w:t>Cette connaissance les aiderait à quitter le monde physique et à rejoindre le royaume spirituel. Cette croyance a produit différentes façons de se comporter en relation au monde physique. Pour certains gnostiques, il fallait éviter tout plaisir physique, puisqu'il appartenait au domaine physique mauvais. D'autres gnostiques se livraient librement au plaisir physique car selon eux, le monde physique n'avait pas vraiment d'importance.</w:t>
      </w:r>
    </w:p>
    <w:p>
      <w:pPr/>
      <w:r>
        <w:rPr>
          <w:lang w:val="fr_FR" w:bidi="fr_FR"/>
        </w:rPr>
      </w:r>
      <w:r>
        <w:rPr>
          <w:lang w:val="fr_FR" w:bidi="fr_FR"/>
        </w:rPr>
        <w:t>Le gnosticisme s'est développé en combinant des éléments du christianisme avec des éléments de philosophie grecque. Cette secte mettait l'accent sur la connaissance supérieure réservée aux initiés et modifiait les croyances et pratiques chrétiennes apostoliques. Les gnostiques incluaient souvent Christ dans leurs croyances. Ils le considéraient comme l'une des nombreuses « émanations » provenant de l'être suprême. De nombreux gnostiques croyaient que Christ avait enseigné à certains disciples de trouver leur « étincelle » divine intérieure et de se connecter au royaume spirituel.</w:t>
      </w:r>
    </w:p>
    <w:p>
      <w:pPr/>
      <w:r>
        <w:rPr>
          <w:lang w:val="fr_FR" w:bidi="fr_FR"/>
        </w:rPr>
      </w:r>
      <w:r>
        <w:rPr>
          <w:lang w:val="fr_FR" w:bidi="fr_FR"/>
        </w:rPr>
        <w:t>De nombreux écrits chrétiens des deux premiers siècles ont réfuté ces faux enseignements gnostiques.</w:t>
      </w:r>
    </w:p>
    <w:p>
      <w:pPr>
        <w:pStyle w:val="Heading4"/>
      </w:pPr>
      <w:r>
        <w:rPr>
          <w:lang w:val="fr_FR" w:bidi="fr_FR"/>
        </w:rPr>
        <w:t>Le docétisme</w:t>
      </w:r>
    </w:p>
    <w:p>
      <w:pPr/>
      <w:r>
        <w:rPr>
          <w:lang w:val="fr_FR" w:bidi="fr_FR"/>
        </w:rPr>
      </w:r>
      <w:r>
        <w:rPr>
          <w:lang w:val="fr_FR" w:bidi="fr_FR"/>
        </w:rPr>
        <w:t xml:space="preserve">Le docétisme était un type de gnosticisme. Il enseignait que Christ a seulement semblé avoir un corps humain et être né, mort et ressuscité physiquement. Le nom de la secte vient du verbe grec </w:t>
      </w:r>
      <w:r>
        <w:rPr>
          <w:i/>
          <w:lang w:val="fr_FR" w:bidi="fr_FR"/>
        </w:rPr>
        <w:t>dokeō</w:t>
      </w:r>
      <w:r>
        <w:rPr>
          <w:lang w:val="fr_FR" w:bidi="fr_FR"/>
        </w:rPr>
        <w:t>, qui signifie « sembler » ou « paraître ».</w:t>
      </w:r>
    </w:p>
    <w:p>
      <w:pPr/>
      <w:r>
        <w:rPr>
          <w:lang w:val="fr_FR" w:bidi="fr_FR"/>
        </w:rPr>
      </w:r>
      <w:r>
        <w:rPr>
          <w:lang w:val="fr_FR" w:bidi="fr_FR"/>
        </w:rPr>
        <w:t xml:space="preserve">Un des premiers docétistes, du nom de Cérinthe, prétendait que le « Christ » spirituel s'était uni au Jésus humain lors de son baptême. Il est resté avec lui pendant tout son ministère, mais est parti avant qu'il ne souffre et ne meure. Cette doctrine avait pour but de maintenir que la divinité de Dieu n'avait pas été souillée par la nature humaine de Jésus. Selon la tradition de l'Église primitive, l'apôtre Jean était très opposé aux enseignements de Cérinthe (voir Irénée, </w:t>
      </w:r>
      <w:r>
        <w:rPr>
          <w:i/>
          <w:lang w:val="fr_FR" w:bidi="fr_FR"/>
        </w:rPr>
        <w:t>Contre les hérésies</w:t>
      </w:r>
      <w:r>
        <w:rPr>
          <w:lang w:val="fr_FR" w:bidi="fr_FR"/>
        </w:rPr>
        <w:t xml:space="preserve"> 3.3.4 ; voir aussi </w:t>
      </w:r>
      <w:r>
        <w:rPr>
          <w:lang w:val="fr_FR" w:bidi="fr_FR"/>
        </w:rPr>
        <w:t>1 Jn 5.5–8</w:t>
      </w:r>
      <w:r>
        <w:rPr>
          <w:lang w:val="fr_FR" w:bidi="fr_FR"/>
        </w:rPr>
        <w:t xml:space="preserve"> ; </w:t>
      </w:r>
      <w:r>
        <w:rPr>
          <w:lang w:val="fr_FR" w:bidi="fr_FR"/>
        </w:rPr>
        <w:t>2 Jn 1.7</w:t>
      </w:r>
      <w:r>
        <w:rPr>
          <w:lang w:val="fr_FR" w:bidi="fr_FR"/>
        </w:rPr>
        <w:t>).</w:t>
      </w:r>
    </w:p>
    <w:p>
      <w:pPr/>
      <w:r>
        <w:rPr>
          <w:lang w:val="fr_FR" w:bidi="fr_FR"/>
        </w:rPr>
      </w:r>
      <w:r>
        <w:rPr>
          <w:lang w:val="fr_FR" w:bidi="fr_FR"/>
        </w:rPr>
        <w:t>Contrairement aux doctrines des docétistes, la Bible enseigne l'Incarnation. Dieu le Fils est devenu un véritable être humain de chair et de sang en la personne de Jésus de Nazareth. Jésus était tout aussi véritablement Dieu qu'homme. Il est devenu un être de chair et de sang afin de pouvoir sauver l'humanité par sa propre chair et son propre sang.</w:t>
      </w:r>
    </w:p>
    <w:p>
      <w:pPr/>
      <w:r>
        <w:rPr>
          <w:lang w:val="fr_FR" w:bidi="fr_FR"/>
        </w:rPr>
      </w:r>
      <w:r>
        <w:rPr>
          <w:lang w:val="fr_FR" w:bidi="fr_FR"/>
        </w:rPr>
        <w:t>Ignace était un élève de l'apôtre Jean et, plus tard, est devenu évêque d'Antioche. Il a écrit des lettres contre le docétisme. Ignace a été la première personne après les auteurs du NT à mentionner que Jésus était né d'une vierge. Il a également rappelé que les apôtres avaient touché le corps de leur Seigneur ressuscité. Le fait que Jésus-Christ était physiquement mort sur la croix et ressuscité a donné à Ignace le courage d'affronter la possibilité de mourir pour lui en martyre.</w:t>
      </w:r>
    </w:p>
    <w:p>
      <w:pPr/>
      <w:r>
        <w:rPr>
          <w:lang w:val="fr_FR" w:bidi="fr_FR"/>
        </w:rPr>
      </w:r>
      <w:r>
        <w:rPr>
          <w:u w:val="single"/>
          <w:lang w:val="fr_FR" w:bidi="fr_FR"/>
        </w:rPr>
        <w:t>Passages pour une étude approfondie</w:t>
      </w:r>
    </w:p>
    <w:p>
      <w:pPr/>
      <w:r>
        <w:rPr>
          <w:lang w:val="fr_FR" w:bidi="fr_FR"/>
        </w:rPr>
      </w:r>
      <w:r>
        <w:rPr>
          <w:lang w:val="fr_FR" w:bidi="fr_FR"/>
        </w:rPr>
        <w:t>Actes 8.9–24</w:t>
      </w:r>
      <w:r>
        <w:rPr>
          <w:lang w:val="fr_FR" w:bidi="fr_FR"/>
        </w:rPr>
        <w:t xml:space="preserve"> ; </w:t>
      </w:r>
      <w:r>
        <w:rPr>
          <w:lang w:val="fr_FR" w:bidi="fr_FR"/>
        </w:rPr>
        <w:t>2 Corinthiens 11.1–15</w:t>
      </w:r>
      <w:r>
        <w:rPr>
          <w:lang w:val="fr_FR" w:bidi="fr_FR"/>
        </w:rPr>
        <w:t xml:space="preserve"> ; </w:t>
      </w:r>
      <w:r>
        <w:rPr>
          <w:lang w:val="fr_FR" w:bidi="fr_FR"/>
        </w:rPr>
        <w:t>Colossiens 1.23</w:t>
      </w:r>
      <w:r>
        <w:rPr>
          <w:lang w:val="fr_FR" w:bidi="fr_FR"/>
        </w:rPr>
        <w:t xml:space="preserve"> ; </w:t>
      </w:r>
      <w:r>
        <w:rPr>
          <w:lang w:val="fr_FR" w:bidi="fr_FR"/>
        </w:rPr>
        <w:t>2.6–23</w:t>
      </w:r>
      <w:r>
        <w:rPr>
          <w:lang w:val="fr_FR" w:bidi="fr_FR"/>
        </w:rPr>
        <w:t xml:space="preserve"> ; </w:t>
      </w:r>
      <w:r>
        <w:rPr>
          <w:lang w:val="fr_FR" w:bidi="fr_FR"/>
        </w:rPr>
        <w:t>1 Timothée 6.20</w:t>
      </w:r>
      <w:r>
        <w:rPr>
          <w:lang w:val="fr_FR" w:bidi="fr_FR"/>
        </w:rPr>
        <w:t xml:space="preserve"> ; </w:t>
      </w:r>
      <w:r>
        <w:rPr>
          <w:lang w:val="fr_FR" w:bidi="fr_FR"/>
        </w:rPr>
        <w:t>2 Pierre 2.1–22</w:t>
      </w:r>
      <w:r>
        <w:rPr>
          <w:lang w:val="fr_FR" w:bidi="fr_FR"/>
        </w:rPr>
        <w:t xml:space="preserve"> ; </w:t>
      </w:r>
      <w:r>
        <w:rPr>
          <w:lang w:val="fr_FR" w:bidi="fr_FR"/>
        </w:rPr>
        <w:t>1 Jean 4.2–3</w:t>
      </w:r>
      <w:r>
        <w:rPr>
          <w:lang w:val="fr_FR" w:bidi="fr_FR"/>
        </w:rPr>
        <w:t xml:space="preserve"> ; </w:t>
      </w:r>
      <w:r>
        <w:rPr>
          <w:lang w:val="fr_FR" w:bidi="fr_FR"/>
        </w:rPr>
        <w:t>5.5–8</w:t>
      </w:r>
      <w:r>
        <w:rPr>
          <w:lang w:val="fr_FR" w:bidi="fr_FR"/>
        </w:rPr>
        <w:t xml:space="preserve"> ; </w:t>
      </w:r>
      <w:r>
        <w:rPr>
          <w:lang w:val="fr_FR" w:bidi="fr_FR"/>
        </w:rPr>
        <w:t>2 Jean 1.7–11</w:t>
      </w:r>
      <w:r>
        <w:rPr>
          <w:lang w:val="fr_FR" w:bidi="fr_FR"/>
        </w:rPr>
        <w:t xml:space="preserve"> ; </w:t>
      </w:r>
      <w:r>
        <w:rPr>
          <w:lang w:val="fr_FR" w:bidi="fr_FR"/>
        </w:rPr>
        <w:t>3 Jean 1.9–12</w:t>
      </w:r>
      <w:r>
        <w:rPr>
          <w:lang w:val="fr_FR" w:bidi="fr_FR"/>
        </w:rPr>
        <w:t xml:space="preserve"> ; </w:t>
      </w:r>
      <w:r>
        <w:rPr>
          <w:lang w:val="fr_FR" w:bidi="fr_FR"/>
        </w:rPr>
        <w:t>Apocalypse 2.2</w:t>
      </w:r>
      <w:r>
        <w:rPr>
          <w:lang w:val="fr_FR" w:bidi="fr_FR"/>
        </w:rPr>
        <w:t xml:space="preserve">, </w:t>
      </w:r>
      <w:r>
        <w:rPr>
          <w:lang w:val="fr_FR" w:bidi="fr_FR"/>
        </w:rPr>
        <w:t>14–16</w:t>
      </w:r>
      <w:r>
        <w:rPr>
          <w:lang w:val="fr_FR" w:bidi="fr_FR"/>
        </w:rPr>
        <w:t xml:space="preserve">, </w:t>
      </w:r>
      <w:r>
        <w:rPr>
          <w:lang w:val="fr_FR" w:bidi="fr_FR"/>
        </w:rPr>
        <w:t>20–25</w:t>
      </w:r>
      <w:r>
        <w:rPr>
          <w:lang w:val="fr_FR" w:bidi="fr_FR"/>
        </w:rPr>
      </w:r>
      <w:r>
        <w:rPr>
          <w:lang w:val="fr_FR" w:bidi="fr_FR"/>
        </w:rPr>
      </w:r>
    </w:p>
    <w:p>
      <w:pPr/>
      <w:r>
        <w:rPr>
          <w:lang w:val="fr_FR" w:bidi="fr_FR"/>
        </w:rPr>
      </w:r>
    </w:p>
    <w:p>
      <w:pPr>
        <w:pStyle w:val="Heading2"/>
      </w:pPr>
      <w:r>
        <w:rPr>
          <w:lang w:val="fr_FR" w:bidi="fr_FR"/>
        </w:rPr>
        <w:t>Hériter le pays</w:t>
      </w:r>
      <w:r>
        <w:rPr>
          <w:lang w:val="fr_FR" w:bidi="fr_FR"/>
        </w:rPr>
      </w:r>
    </w:p>
    <w:p>
      <w:pPr/>
      <w:r>
        <w:rPr>
          <w:lang w:val="fr_FR" w:bidi="fr_FR"/>
        </w:rPr>
      </w:r>
      <w:r>
        <w:rPr>
          <w:lang w:val="fr_FR" w:bidi="fr_FR"/>
        </w:rPr>
        <w:t>Le monde physique est-il mauvais ? L'esprit, l'âme et l'énergie sont-ils les formes d'existence pures que nous devons chercher à développer pendant notre vie terrestre ? Ne serons-nous vraiment spirituels et heureux que lorsque nous serons libérés de nos corps physiques ?</w:t>
      </w:r>
    </w:p>
    <w:p>
      <w:pPr/>
      <w:r>
        <w:rPr>
          <w:lang w:val="fr_FR" w:bidi="fr_FR"/>
        </w:rPr>
      </w:r>
      <w:r>
        <w:rPr>
          <w:lang w:val="fr_FR" w:bidi="fr_FR"/>
        </w:rPr>
        <w:t>La Bible répond à ces questions et à des questions similaires par un « non » catégorique. L'univers provient de la main experte d'un créateur aimant. Cela inclut la Terre et toutes les créatures vivantes. Après avoir fini de créer les cieux et la Terre et tout ce qu'ils renferment, Dieu a considéré que ce qu'il avait fait était « très bon » (</w:t>
      </w:r>
      <w:r>
        <w:rPr>
          <w:lang w:val="fr_FR" w:bidi="fr_FR"/>
        </w:rPr>
        <w:t>Gn 1.31</w:t>
      </w:r>
      <w:r>
        <w:rPr>
          <w:lang w:val="fr_FR" w:bidi="fr_FR"/>
        </w:rPr>
        <w:t xml:space="preserve">). Le péché qui est ensuite entré le monde a fait que le monde physique a eu besoin de rédemption. Par la grâce de Dieu, il sera racheté de sa soumission à la corruption à la fin des temps (voir </w:t>
      </w:r>
      <w:r>
        <w:rPr>
          <w:lang w:val="fr_FR" w:bidi="fr_FR"/>
        </w:rPr>
        <w:t>Rm 8.19–21</w:t>
      </w:r>
      <w:r>
        <w:rPr>
          <w:lang w:val="fr_FR" w:bidi="fr_FR"/>
        </w:rPr>
        <w:t>). Dieu fera une nouvelle Terre où habitera le peuple de Dieu.</w:t>
      </w:r>
    </w:p>
    <w:p>
      <w:pPr/>
      <w:r>
        <w:rPr>
          <w:lang w:val="fr_FR" w:bidi="fr_FR"/>
        </w:rPr>
      </w:r>
      <w:r>
        <w:rPr>
          <w:lang w:val="fr_FR" w:bidi="fr_FR"/>
        </w:rPr>
        <w:t>La Bible montre que le monde physique est bon et important au travers de ce que Dieu dit à propos des terres. Toutes les terres lui appartiennent. Il a enlevé les Cananéens de la terre Promise à cause de leur méchanceté. Il a amené Israël dans ce pays pour accomplir ses promesses aux patriarches. Il veut également que les humains prennent soin de la Terre en harmonie avec leur Créateur.</w:t>
      </w:r>
    </w:p>
    <w:p>
      <w:pPr/>
      <w:r>
        <w:rPr>
          <w:lang w:val="fr_FR" w:bidi="fr_FR"/>
        </w:rPr>
      </w:r>
      <w:r>
        <w:rPr>
          <w:lang w:val="fr_FR" w:bidi="fr_FR"/>
        </w:rPr>
        <w:t>Dans l'Israël de l'Antiquité, les terres du pays faisaient partie de l'héritage que Dieu avait donné aux tribus, aux clans et aux familles. Ils pouvaient les cultiver, en vivre et recevoir de nombreuses bénédictions en les exploitant. Toutefois, le pays et ses terres ne leur appartenaient pas, car tout était à Dieu. Les pères transmettaient leurs terres à leurs fils comme la partie la plus importante de l'héritage familial.</w:t>
      </w:r>
    </w:p>
    <w:p>
      <w:pPr/>
      <w:r>
        <w:rPr>
          <w:lang w:val="fr_FR" w:bidi="fr_FR"/>
        </w:rPr>
      </w:r>
      <w:r>
        <w:rPr>
          <w:lang w:val="fr_FR" w:bidi="fr_FR"/>
        </w:rPr>
        <w:t xml:space="preserve">En suivant ces principes et les instructions de Dieu, Josué a divisé le pays en héritages entre les tribus. Les tribus ont ensuite partagé leurs terres entre les clans, les familles et les maisons individuelles. </w:t>
      </w:r>
    </w:p>
    <w:p>
      <w:pPr/>
      <w:r>
        <w:rPr>
          <w:lang w:val="fr_FR" w:bidi="fr_FR"/>
        </w:rPr>
      </w:r>
      <w:r>
        <w:rPr>
          <w:lang w:val="fr_FR" w:bidi="fr_FR"/>
        </w:rPr>
        <w:t xml:space="preserve">À cette époque-là, le bonheur était représenté en termes très physiques : avoir des enfants, des troupeaux en bonne santé, de bonnes récoltes, une bonne santé, et vivre en paix sous son olivier ou son figuier. </w:t>
      </w:r>
    </w:p>
    <w:p>
      <w:pPr/>
      <w:r>
        <w:rPr>
          <w:lang w:val="fr_FR" w:bidi="fr_FR"/>
        </w:rPr>
      </w:r>
      <w:r>
        <w:rPr>
          <w:u w:val="single"/>
          <w:lang w:val="fr_FR" w:bidi="fr_FR"/>
        </w:rPr>
        <w:t>Passages pour une étude plus approfondie</w:t>
      </w:r>
    </w:p>
    <w:p>
      <w:pPr/>
      <w:r>
        <w:rPr>
          <w:lang w:val="fr_FR" w:bidi="fr_FR"/>
        </w:rPr>
      </w:r>
      <w:r>
        <w:rPr>
          <w:lang w:val="fr_FR" w:bidi="fr_FR"/>
        </w:rPr>
        <w:t>Genèse 1.31</w:t>
      </w:r>
      <w:r>
        <w:rPr>
          <w:lang w:val="fr_FR" w:bidi="fr_FR"/>
        </w:rPr>
        <w:t xml:space="preserve"> ; </w:t>
      </w:r>
      <w:r>
        <w:rPr>
          <w:lang w:val="fr_FR" w:bidi="fr_FR"/>
        </w:rPr>
        <w:t>12.7</w:t>
      </w:r>
      <w:r>
        <w:rPr>
          <w:lang w:val="fr_FR" w:bidi="fr_FR"/>
        </w:rPr>
        <w:t xml:space="preserve"> ; </w:t>
      </w:r>
      <w:r>
        <w:rPr>
          <w:lang w:val="fr_FR" w:bidi="fr_FR"/>
        </w:rPr>
        <w:t>13.14–17</w:t>
      </w:r>
      <w:r>
        <w:rPr>
          <w:lang w:val="fr_FR" w:bidi="fr_FR"/>
        </w:rPr>
        <w:t xml:space="preserve"> ; </w:t>
      </w:r>
      <w:r>
        <w:rPr>
          <w:lang w:val="fr_FR" w:bidi="fr_FR"/>
        </w:rPr>
        <w:t>15.12–21</w:t>
      </w:r>
      <w:r>
        <w:rPr>
          <w:lang w:val="fr_FR" w:bidi="fr_FR"/>
        </w:rPr>
        <w:t xml:space="preserve"> ; </w:t>
      </w:r>
      <w:r>
        <w:rPr>
          <w:lang w:val="fr_FR" w:bidi="fr_FR"/>
        </w:rPr>
        <w:t>17.7–8</w:t>
      </w:r>
      <w:r>
        <w:rPr>
          <w:lang w:val="fr_FR" w:bidi="fr_FR"/>
        </w:rPr>
        <w:t xml:space="preserve"> ; </w:t>
      </w:r>
      <w:r>
        <w:rPr>
          <w:lang w:val="fr_FR" w:bidi="fr_FR"/>
        </w:rPr>
        <w:t>35.11–13</w:t>
      </w:r>
      <w:r>
        <w:rPr>
          <w:lang w:val="fr_FR" w:bidi="fr_FR"/>
        </w:rPr>
        <w:t xml:space="preserve"> ; </w:t>
      </w:r>
      <w:r>
        <w:rPr>
          <w:lang w:val="fr_FR" w:bidi="fr_FR"/>
        </w:rPr>
        <w:t>50.24</w:t>
      </w:r>
      <w:r>
        <w:rPr>
          <w:lang w:val="fr_FR" w:bidi="fr_FR"/>
        </w:rPr>
        <w:t xml:space="preserve"> ; </w:t>
      </w:r>
      <w:r>
        <w:rPr>
          <w:lang w:val="fr_FR" w:bidi="fr_FR"/>
        </w:rPr>
        <w:t>Josué 13.1–21.45</w:t>
      </w:r>
      <w:r>
        <w:rPr>
          <w:lang w:val="fr_FR" w:bidi="fr_FR"/>
        </w:rPr>
        <w:t xml:space="preserve"> ; </w:t>
      </w:r>
      <w:r>
        <w:rPr>
          <w:lang w:val="fr_FR" w:bidi="fr_FR"/>
        </w:rPr>
        <w:t>Psaumes 37.9–34</w:t>
      </w:r>
      <w:r>
        <w:rPr>
          <w:lang w:val="fr_FR" w:bidi="fr_FR"/>
        </w:rPr>
        <w:t xml:space="preserve"> ; </w:t>
      </w:r>
      <w:r>
        <w:rPr>
          <w:lang w:val="fr_FR" w:bidi="fr_FR"/>
        </w:rPr>
        <w:t>Luc 12.22–34</w:t>
      </w:r>
      <w:r>
        <w:rPr>
          <w:lang w:val="fr_FR" w:bidi="fr_FR"/>
        </w:rPr>
        <w:t xml:space="preserve"> ; </w:t>
      </w:r>
      <w:r>
        <w:rPr>
          <w:lang w:val="fr_FR" w:bidi="fr_FR"/>
        </w:rPr>
        <w:t>16.9–11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