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Aturan Hukum Kuno</w:t>
      </w:r>
      <w:r>
        <w:rPr>
          <w:lang w:val="id_ID" w:bidi="id_ID"/>
        </w:rPr>
      </w:r>
    </w:p>
    <w:p>
      <w:pPr/>
      <w:r>
        <w:rPr>
          <w:lang w:val="id_ID" w:bidi="id_ID"/>
        </w:rPr>
      </w:r>
      <w:r>
        <w:rPr>
          <w:lang w:val="id_ID" w:bidi="id_ID"/>
        </w:rPr>
        <w:t>Hingga akhir tahun 1800-an, orang-orang mengira hukum Musa adalah aturan hukum yang unik. Mereka percaya bahwa hukum ini sudah ada hampir seribu tahun sebelum ada yang serupa dalam hukum Yunani dan Romawi. Namun, penggalian arkeologi di Persia pada awal tahun 1900-an menemukan hukum dari raja Babilonia Hammurabi (disebut Kode Hammurabi). Dia hidup pada tahun 1700-an SM, beberapa abad sebelum waktu yang secara tradisional dikaitkan dengan Musa.</w:t>
      </w:r>
    </w:p>
    <w:p>
      <w:pPr/>
      <w:r>
        <w:rPr>
          <w:lang w:val="id_ID" w:bidi="id_ID"/>
        </w:rPr>
      </w:r>
      <w:r>
        <w:rPr>
          <w:lang w:val="id_ID" w:bidi="id_ID"/>
        </w:rPr>
        <w:t>Yang mengejutkan, banyak dari hukum-hukum ini yang hampir sama dengan yang ada dalam Alkitab. Hal ini menunjukkan bahwa hukum-hukum dalam Alkitab mungkin berasal dari Hammurabi. Namun, penemuan selanjutnya menemukan aturan hukum yang sudah ada setidaknya 500 tahun sebelum Hammurabi. Beberapa hukum bersifat umum dalam semua kitab hukum ini, sehingga Hammurabi juga bukanlah yang pertama memulainya.</w:t>
      </w:r>
    </w:p>
    <w:p>
      <w:pPr/>
      <w:r>
        <w:rPr>
          <w:lang w:val="id_ID" w:bidi="id_ID"/>
        </w:rPr>
      </w:r>
      <w:r>
        <w:rPr>
          <w:lang w:val="id_ID" w:bidi="id_ID"/>
        </w:rPr>
        <w:t>Apa maknanya hal ini bagi Alkitab?</w:t>
      </w:r>
    </w:p>
    <w:p>
      <w:pPr>
        <w:pStyle w:val="ListNumber"/>
        <w:numPr>
          <w:ilvl w:val="0"/>
          <w:numId w:val="14"/>
        </w:numPr>
        <w:spacing w:line="240" w:lineRule="auto"/>
        <w:ind w:left="720"/>
      </w:pPr>
      <w:r>
        <w:rPr>
          <w:lang w:val="id_ID" w:bidi="id_ID"/>
        </w:rPr>
      </w:r>
      <w:r>
        <w:rPr>
          <w:lang w:val="id_ID" w:bidi="id_ID"/>
        </w:rPr>
        <w:t>Bukan hal yang mengejutkan jika ditemukan hukum-hukum yang serupa dalam kebudayaan di sekitar Israel. Masyarakat yang serupa memerlukan aturan yang serupa untuk memastikan keadilan.</w:t>
      </w:r>
    </w:p>
    <w:p>
      <w:pPr>
        <w:pStyle w:val="ListNumber"/>
        <w:spacing w:line="240" w:lineRule="auto"/>
        <w:ind w:left="720"/>
      </w:pPr>
      <w:r>
        <w:rPr>
          <w:lang w:val="id_ID" w:bidi="id_ID"/>
        </w:rPr>
      </w:r>
      <w:r>
        <w:rPr>
          <w:lang w:val="id_ID" w:bidi="id_ID"/>
        </w:rPr>
        <w:t>Hukum-hukum Alkitab bersifat unik karena merupakan bagian dari perjanjian (kesepakatan khusus) dengan Allah. Di Timur Dekat kuno, hukum agama dan hukum sipil dipisahkan. Hukum agama berbicara tentang korban, doa, persembahan, dan lainnya. Sementara itu, hukum sipil membahas tentang pencurian, kebohongan, perilaku seksual, pembunuhan, dan lainnya.</w:t>
        <w:br/>
      </w:r>
      <w:r>
        <w:rPr>
          <w:lang w:val="id_ID" w:bidi="id_ID"/>
        </w:rPr>
        <w:t>Mereka memandang etika (aturan tentang benar dan salah) dan agama sebagai topik yang berbeda. Agama mencakup doa, ibadah, persembahan, dan upacara, yang diatur oleh para imam. Etika berkaitan dengan perilaku sosial dan sipil, yang diatur oleh raja. Pandangan Alkitab berbeda. Allah memerintah baik atas agama maupun masyarakat. Sehingga, seseorang yang memiliki hubungan dengan Allah yang benar harus beribadah dengan benar dan memperlakukan sesama dengan baik.</w:t>
      </w:r>
    </w:p>
    <w:p>
      <w:pPr/>
      <w:r>
        <w:rPr>
          <w:lang w:val="id_ID" w:bidi="id_ID"/>
        </w:rPr>
      </w:r>
      <w:r>
        <w:rPr>
          <w:lang w:val="id_ID" w:bidi="id_ID"/>
        </w:rPr>
        <w:t>Perjanjian Israel dengan Allah menggunakan bentuk hukum yang sudah ada, tetapi memberi makna yang baru. Contohnya, cara Allah mengatur kemah suci dan bait suci Israel mirip dengan tempat lainnya yang ada di dunia kuno (</w:t>
      </w:r>
      <w:r>
        <w:rPr>
          <w:lang w:val="id_ID" w:bidi="id_ID"/>
        </w:rPr>
        <w:t>Kel. 26–27</w:t>
      </w:r>
      <w:r>
        <w:rPr>
          <w:lang w:val="id_ID" w:bidi="id_ID"/>
        </w:rPr>
        <w:t xml:space="preserve">; lihat </w:t>
      </w:r>
      <w:r>
        <w:rPr>
          <w:lang w:val="id_ID" w:bidi="id_ID"/>
        </w:rPr>
        <w:t>1Raj. 6:1–7:51</w:t>
      </w:r>
      <w:r>
        <w:rPr>
          <w:lang w:val="id_ID" w:bidi="id_ID"/>
        </w:rPr>
        <w:t xml:space="preserve">). Korban-korban orang Ibrani juga serupa dengan korban-korban penyembah berhala (lihat </w:t>
      </w:r>
      <w:r>
        <w:rPr>
          <w:lang w:val="id_ID" w:bidi="id_ID"/>
        </w:rPr>
        <w:t>Im. 1–7</w:t>
      </w:r>
      <w:r>
        <w:rPr>
          <w:lang w:val="id_ID" w:bidi="id_ID"/>
        </w:rPr>
        <w:t xml:space="preserve">). Namun, bait suci dan korban persembahan memiliki makna dan tujuan yang berbeda dari yang ada dalam kepercayaan kafir (lihat catatan studi pada </w:t>
      </w:r>
      <w:r>
        <w:rPr>
          <w:lang w:val="id_ID" w:bidi="id_ID"/>
        </w:rPr>
        <w:t>Kel. 20:3–17</w:t>
      </w:r>
      <w:r>
        <w:rPr>
          <w:lang w:val="id_ID" w:bidi="id_ID"/>
        </w:rPr>
        <w:t xml:space="preserve">; </w:t>
      </w:r>
      <w:r>
        <w:rPr>
          <w:lang w:val="id_ID" w:bidi="id_ID"/>
        </w:rPr>
        <w:t>25:1–40:38</w:t>
      </w:r>
      <w:r>
        <w:rPr>
          <w:lang w:val="id_ID" w:bidi="id_ID"/>
        </w:rPr>
        <w:t xml:space="preserve">; </w:t>
      </w:r>
      <w:r>
        <w:rPr>
          <w:lang w:val="id_ID" w:bidi="id_ID"/>
        </w:rPr>
        <w:t>Im. 1:1–7:38</w:t>
      </w:r>
      <w:r>
        <w:rPr>
          <w:lang w:val="id_ID" w:bidi="id_ID"/>
        </w:rPr>
        <w:t>).</w:t>
      </w:r>
    </w:p>
    <w:p>
      <w:pPr/>
      <w:r>
        <w:rPr>
          <w:lang w:val="id_ID" w:bidi="id_ID"/>
        </w:rPr>
      </w:r>
      <w:r>
        <w:rPr>
          <w:lang w:val="id_ID" w:bidi="id_ID"/>
        </w:rPr>
        <w:t>Banyak hukum Musa bukanlah hal yang baru bagi dunia kuno. Yang unik adalah bahwa hukum-hukum itu berasal dari satu-satunya Allah Sang Pencipta, yang memanggil umat-Nya untuk hidup dengan cara yang mencerminkan karakter-Nya.</w:t>
      </w:r>
    </w:p>
    <w:p>
      <w:pPr/>
      <w:r>
        <w:rPr>
          <w:lang w:val="id_ID" w:bidi="id_ID"/>
        </w:rPr>
      </w:r>
      <w:r>
        <w:rPr>
          <w:u w:val="single"/>
          <w:lang w:val="id_ID" w:bidi="id_ID"/>
        </w:rPr>
        <w:t>Ayat-ayat untuk Pembelajaran Lebih Lanjut</w:t>
      </w:r>
    </w:p>
    <w:p>
      <w:pPr/>
      <w:r>
        <w:rPr>
          <w:lang w:val="id_ID" w:bidi="id_ID"/>
        </w:rPr>
      </w:r>
      <w:r>
        <w:rPr>
          <w:lang w:val="id_ID" w:bidi="id_ID"/>
        </w:rPr>
        <w:t>Kel. 20:1–23:33</w:t>
      </w:r>
      <w:r>
        <w:rPr>
          <w:lang w:val="id_ID" w:bidi="id_ID"/>
        </w:rPr>
        <w:t xml:space="preserve">; </w:t>
      </w:r>
      <w:r>
        <w:rPr>
          <w:lang w:val="id_ID" w:bidi="id_ID"/>
        </w:rPr>
        <w:t>34:1–35:3</w:t>
      </w:r>
      <w:r>
        <w:rPr>
          <w:lang w:val="id_ID" w:bidi="id_ID"/>
        </w:rPr>
        <w:t xml:space="preserve">; </w:t>
      </w:r>
      <w:r>
        <w:rPr>
          <w:lang w:val="id_ID" w:bidi="id_ID"/>
        </w:rPr>
        <w:t>Im. 1:1–27:34</w:t>
      </w:r>
      <w:r>
        <w:rPr>
          <w:lang w:val="id_ID" w:bidi="id_ID"/>
        </w:rPr>
        <w:t xml:space="preserve">; </w:t>
      </w:r>
      <w:r>
        <w:rPr>
          <w:lang w:val="id_ID" w:bidi="id_ID"/>
        </w:rPr>
        <w:t>Ul. 4:1–33:29</w:t>
      </w:r>
      <w:r>
        <w:rPr>
          <w:lang w:val="id_ID" w:bidi="id_ID"/>
        </w:rPr>
        <w:t xml:space="preserve">; </w:t>
      </w:r>
      <w:r>
        <w:rPr>
          <w:lang w:val="id_ID" w:bidi="id_ID"/>
        </w:rPr>
        <w:t>Ezr. 1:1–4</w:t>
      </w:r>
      <w:r>
        <w:rPr>
          <w:lang w:val="id_ID" w:bidi="id_ID"/>
        </w:rPr>
        <w:t xml:space="preserve">; </w:t>
      </w:r>
      <w:r>
        <w:rPr>
          <w:lang w:val="id_ID" w:bidi="id_ID"/>
        </w:rPr>
        <w:t>Est. 1:13–19</w:t>
      </w:r>
      <w:r>
        <w:rPr>
          <w:lang w:val="id_ID" w:bidi="id_ID"/>
        </w:rPr>
        <w:t xml:space="preserve">; </w:t>
      </w:r>
      <w:r>
        <w:rPr>
          <w:lang w:val="id_ID" w:bidi="id_ID"/>
        </w:rPr>
        <w:t>8:9–14</w:t>
      </w:r>
      <w:r>
        <w:rPr>
          <w:lang w:val="id_ID" w:bidi="id_ID"/>
        </w:rPr>
        <w:t xml:space="preserve">; </w:t>
      </w:r>
      <w:r>
        <w:rPr>
          <w:lang w:val="id_ID" w:bidi="id_ID"/>
        </w:rPr>
        <w:t>Dan. 6:6–9</w:t>
      </w:r>
      <w:r>
        <w:rPr>
          <w:lang w:val="id_ID" w:bidi="id_ID"/>
        </w:rPr>
        <w:t xml:space="preserve">; </w:t>
      </w:r>
      <w:r>
        <w:rPr>
          <w:lang w:val="id_ID" w:bidi="id_ID"/>
        </w:rPr>
        <w:t>Luk. 2:1–3</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