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(Themes)</w:t>
      </w:r>
      <w:r>
        <w:rPr>
          <w:lang w:val="id_ID" w:bidi="id_ID"/>
        </w:rPr>
      </w:r>
    </w:p>
    <w:p>
      <w:pPr/>
      <w:r>
        <w:rPr>
          <w:lang w:val="id_ID" w:bidi="id_ID"/>
        </w:rPr>
      </w:r>
      <w:r>
        <w:rPr>
          <w:b/>
          <w:lang w:val="id_ID" w:bidi="id_ID"/>
        </w:rPr>
        <w:t>Aquifer Open Study Notes (Themes)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Makan Bersama</w:t>
      </w:r>
      <w:r>
        <w:rPr>
          <w:lang w:val="id_ID" w:bidi="id_ID"/>
        </w:rPr>
      </w:r>
    </w:p>
    <w:p>
      <w:pPr/>
      <w:r>
        <w:rPr>
          <w:lang w:val="id_ID" w:bidi="id_ID"/>
        </w:rPr>
      </w:r>
      <w:r>
        <w:rPr>
          <w:lang w:val="id_ID" w:bidi="id_ID"/>
        </w:rPr>
        <w:t>Bagi orang-orang Farisi dan penganut agama Yahudi lainnya, makan bersama merupakan acara keagamaan. Orang Yahudi yang saleh mengikuti banyak aturan untuk menghindari pencemaran upacara selama makan. Mereka melakukan ini untuk menunjukkan komitmen mereka terhadap hukum, bukan untuk mengucilkan orang lain.</w:t>
      </w:r>
    </w:p>
    <w:p>
      <w:pPr/>
      <w:r>
        <w:rPr>
          <w:lang w:val="id_ID" w:bidi="id_ID"/>
        </w:rPr>
      </w:r>
      <w:r>
        <w:rPr>
          <w:lang w:val="id_ID" w:bidi="id_ID"/>
        </w:rPr>
        <w:t xml:space="preserve">Kebanyakan orang Yahudi menaati hukum makanan hampir sepanjang waktu. Yesus juga melakukannya. Namun, Dia sering dengan sengaja makan bersama orang-orang yang secara upacara tidak tahir atau kurang berkomitmen untuk menaati hukum. Berbagi makanan dapat menunjukkan kesetaraan dalam perjanjian dan sosial (bdk. </w:t>
      </w:r>
      <w:r>
        <w:rPr>
          <w:lang w:val="id_ID" w:bidi="id_ID"/>
        </w:rPr>
        <w:t>Mat. 26:26–29</w:t>
      </w:r>
      <w:r>
        <w:rPr>
          <w:lang w:val="id_ID" w:bidi="id_ID"/>
        </w:rPr>
        <w:t xml:space="preserve">; </w:t>
      </w:r>
      <w:r>
        <w:rPr>
          <w:lang w:val="id_ID" w:bidi="id_ID"/>
        </w:rPr>
        <w:t>2Raj. 25:27–30</w:t>
      </w:r>
      <w:r>
        <w:rPr>
          <w:lang w:val="id_ID" w:bidi="id_ID"/>
        </w:rPr>
        <w:t>). Orang-orang Farisi percaya bahwa menjauhi orang-orang berdosa seperti itu adalah hal yang diperlukan untuk mencapai kebenaran. Inilah sebabnya mengapa mereka merasa tersinggung ketika Yesus makan dengan orang-orang berdosa (</w:t>
      </w:r>
      <w:r>
        <w:rPr>
          <w:lang w:val="id_ID" w:bidi="id_ID"/>
        </w:rPr>
        <w:t>Mat. 9:10–11</w:t>
      </w:r>
      <w:r>
        <w:rPr>
          <w:lang w:val="id_ID" w:bidi="id_ID"/>
        </w:rPr>
        <w:t xml:space="preserve">; </w:t>
      </w:r>
      <w:r>
        <w:rPr>
          <w:lang w:val="id_ID" w:bidi="id_ID"/>
        </w:rPr>
        <w:t>11:19</w:t>
      </w:r>
      <w:r>
        <w:rPr>
          <w:lang w:val="id_ID" w:bidi="id_ID"/>
        </w:rPr>
        <w:t xml:space="preserve">; </w:t>
      </w:r>
      <w:r>
        <w:rPr>
          <w:lang w:val="id_ID" w:bidi="id_ID"/>
        </w:rPr>
        <w:t>21:28–32</w:t>
      </w:r>
      <w:r>
        <w:rPr>
          <w:lang w:val="id_ID" w:bidi="id_ID"/>
        </w:rPr>
        <w:t xml:space="preserve">; </w:t>
      </w:r>
      <w:r>
        <w:rPr>
          <w:lang w:val="id_ID" w:bidi="id_ID"/>
        </w:rPr>
        <w:t>Luk. 7:36–50</w:t>
      </w:r>
      <w:r>
        <w:rPr>
          <w:lang w:val="id_ID" w:bidi="id_ID"/>
        </w:rPr>
        <w:t xml:space="preserve">; </w:t>
      </w:r>
      <w:r>
        <w:rPr>
          <w:lang w:val="id_ID" w:bidi="id_ID"/>
        </w:rPr>
        <w:t>15:1–2</w:t>
      </w:r>
      <w:r>
        <w:rPr>
          <w:lang w:val="id_ID" w:bidi="id_ID"/>
        </w:rPr>
        <w:t xml:space="preserve">; </w:t>
      </w:r>
      <w:r>
        <w:rPr>
          <w:lang w:val="id_ID" w:bidi="id_ID"/>
        </w:rPr>
        <w:t>19:1–10</w:t>
      </w:r>
      <w:r>
        <w:rPr>
          <w:lang w:val="id_ID" w:bidi="id_ID"/>
        </w:rPr>
        <w:t>).</w:t>
      </w:r>
    </w:p>
    <w:p>
      <w:pPr/>
      <w:r>
        <w:rPr>
          <w:lang w:val="id_ID" w:bidi="id_ID"/>
        </w:rPr>
      </w:r>
      <w:r>
        <w:rPr>
          <w:lang w:val="id_ID" w:bidi="id_ID"/>
        </w:rPr>
        <w:t>Yesus makan bersama dengan orang-orang berdosa untuk menunjukkan kasih karunia Allah. Dia memperluas kasih dan pengampunan Allah, dengan mengundang semua orang untuk bergabung dalam suatu komunitas yang baru. Perjamuan terakhir Yesus (disebut 'Perjamuan Malam Terakhir') mengantisipasi perjamuan di dalam kerajaan sorga (</w:t>
      </w:r>
      <w:r>
        <w:rPr>
          <w:lang w:val="id_ID" w:bidi="id_ID"/>
        </w:rPr>
        <w:t>Mat. 26:29</w:t>
      </w:r>
      <w:r>
        <w:rPr>
          <w:lang w:val="id_ID" w:bidi="id_ID"/>
        </w:rPr>
        <w:t xml:space="preserve">; lihat </w:t>
      </w:r>
      <w:r>
        <w:rPr>
          <w:lang w:val="id_ID" w:bidi="id_ID"/>
        </w:rPr>
        <w:t>8:11–12</w:t>
      </w:r>
      <w:r>
        <w:rPr>
          <w:lang w:val="id_ID" w:bidi="id_ID"/>
        </w:rPr>
        <w:t>). Dalam gereja mula-mula, makan bersama juga memainkan peranan penting. Hal itu mengekspresikan persekutuan di antara orang-orang Kristen dan menjadi kesempatan untuk mengambil bagian dalam Perjamuan Tuhan (</w:t>
      </w:r>
      <w:r>
        <w:rPr>
          <w:lang w:val="id_ID" w:bidi="id_ID"/>
        </w:rPr>
        <w:t>Kisah 2:46</w:t>
      </w:r>
      <w:r>
        <w:rPr>
          <w:lang w:val="id_ID" w:bidi="id_ID"/>
        </w:rPr>
        <w:t xml:space="preserve">; </w:t>
      </w:r>
      <w:r>
        <w:rPr>
          <w:lang w:val="id_ID" w:bidi="id_ID"/>
        </w:rPr>
        <w:t>1Kor. 11:17–34</w:t>
      </w:r>
      <w:r>
        <w:rPr>
          <w:lang w:val="id_ID" w:bidi="id_ID"/>
        </w:rPr>
        <w:t>).</w:t>
      </w:r>
    </w:p>
    <w:p>
      <w:pPr/>
      <w:r>
        <w:rPr>
          <w:lang w:val="id_ID" w:bidi="id_ID"/>
        </w:rPr>
      </w:r>
      <w:r>
        <w:rPr>
          <w:lang w:val="id_ID" w:bidi="id_ID"/>
        </w:rPr>
        <w:t xml:space="preserve">Rasul Paulus melanjutkan praktik Yesus untuk membangun ikatan antara orang Yahudi dan orang-orang non-Yahudi (orang-orang yang bukan Yahudi) di dalam gereja (lihat </w:t>
      </w:r>
      <w:r>
        <w:rPr>
          <w:lang w:val="id_ID" w:bidi="id_ID"/>
        </w:rPr>
        <w:t>Gal. 2:11–21</w:t>
      </w:r>
      <w:r>
        <w:rPr>
          <w:lang w:val="id_ID" w:bidi="id_ID"/>
        </w:rPr>
        <w:t>). Yesus meruntuhkan "</w:t>
      </w:r>
      <w:r>
        <w:rPr>
          <w:lang w:val="id_ID" w:bidi="id_ID"/>
        </w:rPr>
        <w:t>tembok pemisah, yaitu perseteruan</w:t>
      </w:r>
      <w:r>
        <w:rPr>
          <w:lang w:val="id_ID" w:bidi="id_ID"/>
        </w:rPr>
        <w:t>" di antara orang Yahudi dan orang-orang non-Yahudi (</w:t>
      </w:r>
      <w:r>
        <w:rPr>
          <w:lang w:val="id_ID" w:bidi="id_ID"/>
        </w:rPr>
        <w:t>Ef. 2:14–18</w:t>
      </w:r>
      <w:r>
        <w:rPr>
          <w:lang w:val="id_ID" w:bidi="id_ID"/>
        </w:rPr>
        <w:t>). Dia memanggil kita untuk bersekutu dengan semua umat-Nya.</w:t>
      </w:r>
    </w:p>
    <w:p>
      <w:pPr/>
      <w:r>
        <w:rPr>
          <w:lang w:val="id_ID" w:bidi="id_ID"/>
        </w:rPr>
      </w:r>
      <w:r>
        <w:rPr>
          <w:u w:val="single"/>
          <w:lang w:val="id_ID" w:bidi="id_ID"/>
        </w:rPr>
        <w:t>Ayat-ayat untuk Pembelajaran Lebih Lanjut</w:t>
      </w:r>
    </w:p>
    <w:p>
      <w:pPr/>
      <w:r>
        <w:rPr>
          <w:lang w:val="id_ID" w:bidi="id_ID"/>
        </w:rPr>
      </w:r>
      <w:r>
        <w:rPr>
          <w:lang w:val="id_ID" w:bidi="id_ID"/>
        </w:rPr>
        <w:t>Kej. 18:1–8</w:t>
      </w:r>
      <w:r>
        <w:rPr>
          <w:lang w:val="id_ID" w:bidi="id_ID"/>
        </w:rPr>
        <w:t xml:space="preserve">; </w:t>
      </w:r>
      <w:r>
        <w:rPr>
          <w:lang w:val="id_ID" w:bidi="id_ID"/>
        </w:rPr>
        <w:t>Kel. 24:9–11</w:t>
      </w:r>
      <w:r>
        <w:rPr>
          <w:lang w:val="id_ID" w:bidi="id_ID"/>
        </w:rPr>
        <w:t xml:space="preserve">; </w:t>
      </w:r>
      <w:r>
        <w:rPr>
          <w:lang w:val="id_ID" w:bidi="id_ID"/>
        </w:rPr>
        <w:t>2Raj. 25:27–30</w:t>
      </w:r>
      <w:r>
        <w:rPr>
          <w:lang w:val="id_ID" w:bidi="id_ID"/>
        </w:rPr>
        <w:t xml:space="preserve">; </w:t>
      </w:r>
      <w:r>
        <w:rPr>
          <w:lang w:val="id_ID" w:bidi="id_ID"/>
        </w:rPr>
        <w:t>Mat. 8:11–12</w:t>
      </w:r>
      <w:r>
        <w:rPr>
          <w:lang w:val="id_ID" w:bidi="id_ID"/>
        </w:rPr>
        <w:t xml:space="preserve">; </w:t>
      </w:r>
      <w:r>
        <w:rPr>
          <w:lang w:val="id_ID" w:bidi="id_ID"/>
        </w:rPr>
        <w:t>9:10–13</w:t>
      </w:r>
      <w:r>
        <w:rPr>
          <w:lang w:val="id_ID" w:bidi="id_ID"/>
        </w:rPr>
        <w:t xml:space="preserve">; </w:t>
      </w:r>
      <w:r>
        <w:rPr>
          <w:lang w:val="id_ID" w:bidi="id_ID"/>
        </w:rPr>
        <w:t>11:19</w:t>
      </w:r>
      <w:r>
        <w:rPr>
          <w:lang w:val="id_ID" w:bidi="id_ID"/>
        </w:rPr>
        <w:t xml:space="preserve">; </w:t>
      </w:r>
      <w:r>
        <w:rPr>
          <w:lang w:val="id_ID" w:bidi="id_ID"/>
        </w:rPr>
        <w:t>26:26–29</w:t>
      </w:r>
      <w:r>
        <w:rPr>
          <w:lang w:val="id_ID" w:bidi="id_ID"/>
        </w:rPr>
        <w:t xml:space="preserve">; </w:t>
      </w:r>
      <w:r>
        <w:rPr>
          <w:lang w:val="id_ID" w:bidi="id_ID"/>
        </w:rPr>
        <w:t>Luk. 7:36–50</w:t>
      </w:r>
      <w:r>
        <w:rPr>
          <w:lang w:val="id_ID" w:bidi="id_ID"/>
        </w:rPr>
        <w:t xml:space="preserve">; </w:t>
      </w:r>
      <w:r>
        <w:rPr>
          <w:lang w:val="id_ID" w:bidi="id_ID"/>
        </w:rPr>
        <w:t>15:1–2</w:t>
      </w:r>
      <w:r>
        <w:rPr>
          <w:lang w:val="id_ID" w:bidi="id_ID"/>
        </w:rPr>
        <w:t xml:space="preserve">; </w:t>
      </w:r>
      <w:r>
        <w:rPr>
          <w:lang w:val="id_ID" w:bidi="id_ID"/>
        </w:rPr>
        <w:t>19:1–10</w:t>
      </w:r>
      <w:r>
        <w:rPr>
          <w:lang w:val="id_ID" w:bidi="id_ID"/>
        </w:rPr>
        <w:t xml:space="preserve">; </w:t>
      </w:r>
      <w:r>
        <w:rPr>
          <w:lang w:val="id_ID" w:bidi="id_ID"/>
        </w:rPr>
        <w:t>22:14–21</w:t>
      </w:r>
      <w:r>
        <w:rPr>
          <w:lang w:val="id_ID" w:bidi="id_ID"/>
        </w:rPr>
        <w:t xml:space="preserve">; </w:t>
      </w:r>
      <w:r>
        <w:rPr>
          <w:lang w:val="id_ID" w:bidi="id_ID"/>
        </w:rPr>
        <w:t>Kisah 2:46–47</w:t>
      </w:r>
      <w:r>
        <w:rPr>
          <w:lang w:val="id_ID" w:bidi="id_ID"/>
        </w:rPr>
        <w:t xml:space="preserve">; </w:t>
      </w:r>
      <w:r>
        <w:rPr>
          <w:lang w:val="id_ID" w:bidi="id_ID"/>
        </w:rPr>
        <w:t>1Kor. 11:20–34</w:t>
      </w:r>
      <w:r>
        <w:rPr>
          <w:lang w:val="id_ID" w:bidi="id_ID"/>
        </w:rPr>
        <w:t xml:space="preserve">; </w:t>
      </w:r>
      <w:r>
        <w:rPr>
          <w:lang w:val="id_ID" w:bidi="id_ID"/>
        </w:rPr>
        <w:t>Gal. 2:11–16</w:t>
      </w:r>
      <w:r>
        <w:rPr>
          <w:lang w:val="id_ID" w:bidi="id_ID"/>
        </w:rPr>
        <w:t xml:space="preserve">; </w:t>
      </w:r>
      <w:r>
        <w:rPr>
          <w:lang w:val="id_ID" w:bidi="id_ID"/>
        </w:rPr>
        <w:t>Ef. 2:14–18</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