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Guerra santa</w:t>
      </w:r>
      <w:r>
        <w:rPr>
          <w:lang w:val="pt_PT" w:bidi="pt_PT"/>
        </w:rPr>
      </w:r>
    </w:p>
    <w:p>
      <w:pPr/>
      <w:r>
        <w:rPr>
          <w:lang w:val="pt_PT" w:bidi="pt_PT"/>
        </w:rPr>
      </w:r>
      <w:r>
        <w:rPr>
          <w:lang w:val="pt_PT" w:bidi="pt_PT"/>
        </w:rPr>
        <w:t>A destruição total dos inimigos pelos israelitas levanta questões difíceis sobre o certo e o errado. Quais foram as razões que levaram Israel a invadir, conquistar e destruir Canaã e seu povo? De uma perspectiva humana, as invasões agressivas de Israel para conquistar Canaã parecem ilegais e imorais. A Bíblia oferece algumas percepções sobre essa questão. Embora essas percepções não respondam a todas as nossas perguntas, elas nos ajudam a entender melhor a situação.</w:t>
      </w:r>
    </w:p>
    <w:p>
      <w:pPr/>
      <w:r>
        <w:rPr>
          <w:lang w:val="pt_PT" w:bidi="pt_PT"/>
        </w:rPr>
      </w:r>
      <w:r>
        <w:rPr>
          <w:lang w:val="pt_PT" w:bidi="pt_PT"/>
        </w:rPr>
        <w:t>Primeiro, foi Deus quem comandou e liderou a guerra contra os cananeus, não os humanos. Deus estava presente de forma única com Israel (</w:t>
      </w:r>
      <w:r>
        <w:rPr>
          <w:lang w:val="pt_PT" w:bidi="pt_PT"/>
        </w:rPr>
        <w:t>Êxodo 19.5–6</w:t>
      </w:r>
      <w:r>
        <w:rPr>
          <w:lang w:val="pt_PT" w:bidi="pt_PT"/>
        </w:rPr>
        <w:t xml:space="preserve">; </w:t>
      </w:r>
      <w:r>
        <w:rPr>
          <w:lang w:val="pt_PT" w:bidi="pt_PT"/>
        </w:rPr>
        <w:t>40.34–38</w:t>
      </w:r>
      <w:r>
        <w:rPr>
          <w:lang w:val="pt_PT" w:bidi="pt_PT"/>
        </w:rPr>
        <w:t>). Após Israel cruzar o Rio Jordão, ficou claro que Deus lutou contra os cananeus (</w:t>
      </w:r>
      <w:r>
        <w:rPr>
          <w:lang w:val="pt_PT" w:bidi="pt_PT"/>
        </w:rPr>
        <w:t>Josué 6</w:t>
      </w:r>
      <w:r>
        <w:rPr>
          <w:lang w:val="pt_PT" w:bidi="pt_PT"/>
        </w:rPr>
        <w:t>). Quando Deus não lutou, Israel perdeu (</w:t>
      </w:r>
      <w:r>
        <w:rPr>
          <w:lang w:val="pt_PT" w:bidi="pt_PT"/>
        </w:rPr>
        <w:t>Josué 7</w:t>
      </w:r>
      <w:r>
        <w:rPr>
          <w:lang w:val="pt_PT" w:bidi="pt_PT"/>
        </w:rPr>
        <w:t>). Deus define a moralidade com base em Seu caráter. Para o antigo Israel, isso significava remover o mal para manter Deus presente (</w:t>
      </w:r>
      <w:r>
        <w:rPr>
          <w:lang w:val="pt_PT" w:bidi="pt_PT"/>
        </w:rPr>
        <w:t>Deuteronômio 7.1–6</w:t>
      </w:r>
      <w:r>
        <w:rPr>
          <w:lang w:val="pt_PT" w:bidi="pt_PT"/>
        </w:rPr>
        <w:t xml:space="preserve">; </w:t>
      </w:r>
      <w:r>
        <w:rPr>
          <w:lang w:val="pt_PT" w:bidi="pt_PT"/>
        </w:rPr>
        <w:t>Deuteronômio 20.16–18</w:t>
      </w:r>
      <w:r>
        <w:rPr>
          <w:lang w:val="pt_PT" w:bidi="pt_PT"/>
        </w:rPr>
        <w:t xml:space="preserve">; veja também </w:t>
      </w:r>
      <w:r>
        <w:rPr>
          <w:lang w:val="pt_PT" w:bidi="pt_PT"/>
        </w:rPr>
        <w:t>Números 25</w:t>
      </w:r>
      <w:r>
        <w:rPr>
          <w:lang w:val="pt_PT" w:bidi="pt_PT"/>
        </w:rPr>
        <w:t xml:space="preserve">; </w:t>
      </w:r>
      <w:r>
        <w:rPr>
          <w:lang w:val="pt_PT" w:bidi="pt_PT"/>
        </w:rPr>
        <w:t>Juízes 2.1–15</w:t>
      </w:r>
      <w:r>
        <w:rPr>
          <w:lang w:val="pt_PT" w:bidi="pt_PT"/>
        </w:rPr>
        <w:t>).</w:t>
      </w:r>
    </w:p>
    <w:p>
      <w:pPr/>
      <w:r>
        <w:rPr>
          <w:lang w:val="pt_PT" w:bidi="pt_PT"/>
        </w:rPr>
      </w:r>
      <w:r>
        <w:rPr>
          <w:lang w:val="pt_PT" w:bidi="pt_PT"/>
        </w:rPr>
        <w:t xml:space="preserve">Em segundo lugar, o povo de Canaã havia se voltado contra Deus e se tornado muito perverso (veja, por exemplo, </w:t>
      </w:r>
      <w:r>
        <w:rPr>
          <w:lang w:val="pt_PT" w:bidi="pt_PT"/>
        </w:rPr>
        <w:t>Gênesis 34.1–2</w:t>
      </w:r>
      <w:r>
        <w:rPr>
          <w:lang w:val="pt_PT" w:bidi="pt_PT"/>
        </w:rPr>
        <w:t>). Durante o tempo do patriarca Abraão, Deus disse que os pecados dos cananeus ainda não justificavam sua destruição (</w:t>
      </w:r>
      <w:r>
        <w:rPr>
          <w:lang w:val="pt_PT" w:bidi="pt_PT"/>
        </w:rPr>
        <w:t>Gênesis 15.16</w:t>
      </w:r>
      <w:r>
        <w:rPr>
          <w:lang w:val="pt_PT" w:bidi="pt_PT"/>
        </w:rPr>
        <w:t>). Agora, vários séculos depois, justificavam.</w:t>
      </w:r>
    </w:p>
    <w:p>
      <w:pPr/>
      <w:r>
        <w:rPr>
          <w:lang w:val="pt_PT" w:bidi="pt_PT"/>
        </w:rPr>
      </w:r>
      <w:r>
        <w:rPr>
          <w:lang w:val="pt_PT" w:bidi="pt_PT"/>
        </w:rPr>
        <w:t xml:space="preserve">Eles estavam cometendo crimes terríveis contra Deus e os humanos. Isso incluía adoração de ídolos, sacrifício de crianças, adultério, incesto, assassinato e opressão (veja </w:t>
      </w:r>
      <w:r>
        <w:rPr>
          <w:lang w:val="pt_PT" w:bidi="pt_PT"/>
        </w:rPr>
        <w:t>Levítico 18</w:t>
      </w:r>
      <w:r>
        <w:rPr>
          <w:lang w:val="pt_PT" w:bidi="pt_PT"/>
        </w:rPr>
        <w:t>). Esses pecados profanaram completamente a terra e seu povo, tornando-os espiritualmente impuros (</w:t>
      </w:r>
      <w:r>
        <w:rPr>
          <w:lang w:val="pt_PT" w:bidi="pt_PT"/>
        </w:rPr>
        <w:t>Levítico 18.24–25</w:t>
      </w:r>
      <w:r>
        <w:rPr>
          <w:lang w:val="pt_PT" w:bidi="pt_PT"/>
        </w:rPr>
        <w:t>). O Deus santo estava exercendo sua justiça contra o mal extremo.</w:t>
      </w:r>
    </w:p>
    <w:p>
      <w:pPr/>
      <w:r>
        <w:rPr>
          <w:lang w:val="pt_PT" w:bidi="pt_PT"/>
        </w:rPr>
      </w:r>
      <w:r>
        <w:rPr>
          <w:lang w:val="pt_PT" w:bidi="pt_PT"/>
        </w:rPr>
        <w:t xml:space="preserve">É importante entender que a guerra que Deus permitiu que Israel lutasse foi limitada a um tempo, lugar e povo específicos. Guerras travadas em nome da religião não são justificadas por este exemplo. Por exemplo, as cruzadas (ataques militares por europeus que se autodenominavam cristãos contra muçulmanos no Oriente Médio durante os anos 1095–1291 d.C.) estavam erradas. O mesmo é verdade para ataques violentos recentes por pessoas que afirmam agir em nome do Islã (chamados de </w:t>
      </w:r>
      <w:r>
        <w:rPr>
          <w:i/>
          <w:lang w:val="pt_PT" w:bidi="pt_PT"/>
        </w:rPr>
        <w:t>jihad</w:t>
      </w:r>
      <w:r>
        <w:rPr>
          <w:lang w:val="pt_PT" w:bidi="pt_PT"/>
        </w:rPr>
        <w:t xml:space="preserve"> por aqueles que os realizam).</w:t>
      </w:r>
    </w:p>
    <w:p>
      <w:pPr/>
      <w:r>
        <w:rPr>
          <w:lang w:val="pt_PT" w:bidi="pt_PT"/>
        </w:rPr>
      </w:r>
      <w:r>
        <w:rPr>
          <w:lang w:val="pt_PT" w:bidi="pt_PT"/>
        </w:rPr>
        <w:t>Jesus disse claramente, "Benditos são os pacificadores" (</w:t>
      </w:r>
      <w:r>
        <w:rPr>
          <w:lang w:val="pt_PT" w:bidi="pt_PT"/>
        </w:rPr>
        <w:t>Mateus 5.9</w:t>
      </w:r>
      <w:r>
        <w:rPr>
          <w:lang w:val="pt_PT" w:bidi="pt_PT"/>
        </w:rPr>
        <w:t>). Ele também disse, "todos os que usam a espada morrerão pela espada" (</w:t>
      </w:r>
      <w:r>
        <w:rPr>
          <w:lang w:val="pt_PT" w:bidi="pt_PT"/>
        </w:rPr>
        <w:t>Mateus 26.52</w:t>
      </w:r>
      <w:r>
        <w:rPr>
          <w:lang w:val="pt_PT" w:bidi="pt_PT"/>
        </w:rPr>
        <w:t>). Os judeus esperavam que Jesus, como o Messias (o líder escolhido por Deus), liderasse Israel a uma vitória militar sobre os romanos. Em vez disso, ele sacrificou sua vida para derrotar o pecado, a morte e Satanás.</w:t>
      </w:r>
    </w:p>
    <w:p>
      <w:pPr/>
      <w:r>
        <w:rPr>
          <w:lang w:val="pt_PT" w:bidi="pt_PT"/>
        </w:rPr>
      </w:r>
      <w:r>
        <w:rPr>
          <w:lang w:val="pt_PT" w:bidi="pt_PT"/>
        </w:rPr>
        <w:t>Deus reservou para si o direito de julgamento (</w:t>
      </w:r>
      <w:r>
        <w:rPr>
          <w:lang w:val="pt_PT" w:bidi="pt_PT"/>
        </w:rPr>
        <w:t>Romanos 12.19</w:t>
      </w:r>
      <w:r>
        <w:rPr>
          <w:lang w:val="pt_PT" w:bidi="pt_PT"/>
        </w:rPr>
        <w:t xml:space="preserve">). No julgamento final, ele expressará sua santa ira e justiça em relação a todas as ações erradas e pecaminosas da humanidade (veja </w:t>
      </w:r>
      <w:r>
        <w:rPr>
          <w:lang w:val="pt_PT" w:bidi="pt_PT"/>
        </w:rPr>
        <w:t>Apocalipse 19.11–21</w:t>
      </w:r>
      <w:r>
        <w:rPr>
          <w:lang w:val="pt_PT" w:bidi="pt_PT"/>
        </w:rPr>
        <w:t xml:space="preserve">; </w:t>
      </w:r>
      <w:r>
        <w:rPr>
          <w:lang w:val="pt_PT" w:bidi="pt_PT"/>
        </w:rPr>
        <w:t>20.7–10</w:t>
      </w:r>
      <w:r>
        <w:rPr>
          <w:lang w:val="pt_PT" w:bidi="pt_PT"/>
        </w:rPr>
        <w:t>). Portanto, ninguém pode agora afirmar corretamente que Deus ordenou o extermínio de um grupo específico de pessoas. No mundo moderno de hoje, nunca é justo cometer genocídio (matar ou destruir intencionalmente um grupo inteiro de pessoas).</w:t>
      </w:r>
    </w:p>
    <w:p>
      <w:pPr/>
      <w:r>
        <w:rPr>
          <w:lang w:val="pt_PT" w:bidi="pt_PT"/>
        </w:rPr>
      </w:r>
      <w:r>
        <w:rPr>
          <w:u w:val="single"/>
          <w:lang w:val="pt_PT" w:bidi="pt_PT"/>
        </w:rPr>
        <w:t>Passagens para estudo complementar</w:t>
      </w:r>
    </w:p>
    <w:p>
      <w:pPr/>
      <w:r>
        <w:rPr>
          <w:lang w:val="pt_PT" w:bidi="pt_PT"/>
        </w:rPr>
      </w:r>
      <w:r>
        <w:rPr>
          <w:lang w:val="pt_PT" w:bidi="pt_PT"/>
        </w:rPr>
        <w:t>Gênesis 12.1</w:t>
      </w:r>
      <w:r>
        <w:rPr>
          <w:lang w:val="pt_PT" w:bidi="pt_PT"/>
        </w:rPr>
        <w:t xml:space="preserve">; </w:t>
      </w:r>
      <w:r>
        <w:rPr>
          <w:lang w:val="pt_PT" w:bidi="pt_PT"/>
        </w:rPr>
        <w:t>13.14–17</w:t>
      </w:r>
      <w:r>
        <w:rPr>
          <w:lang w:val="pt_PT" w:bidi="pt_PT"/>
        </w:rPr>
        <w:t xml:space="preserve">; </w:t>
      </w:r>
      <w:r>
        <w:rPr>
          <w:lang w:val="pt_PT" w:bidi="pt_PT"/>
        </w:rPr>
        <w:t>15.16</w:t>
      </w:r>
      <w:r>
        <w:rPr>
          <w:lang w:val="pt_PT" w:bidi="pt_PT"/>
        </w:rPr>
        <w:t xml:space="preserve">, </w:t>
      </w:r>
      <w:r>
        <w:rPr>
          <w:lang w:val="pt_PT" w:bidi="pt_PT"/>
        </w:rPr>
        <w:t>18–21</w:t>
      </w:r>
      <w:r>
        <w:rPr>
          <w:lang w:val="pt_PT" w:bidi="pt_PT"/>
        </w:rPr>
        <w:t xml:space="preserve">; </w:t>
      </w:r>
      <w:r>
        <w:rPr>
          <w:lang w:val="pt_PT" w:bidi="pt_PT"/>
        </w:rPr>
        <w:t>Deuteronômio 1.30</w:t>
      </w:r>
      <w:r>
        <w:rPr>
          <w:lang w:val="pt_PT" w:bidi="pt_PT"/>
        </w:rPr>
        <w:t xml:space="preserve">; </w:t>
      </w:r>
      <w:r>
        <w:rPr>
          <w:lang w:val="pt_PT" w:bidi="pt_PT"/>
        </w:rPr>
        <w:t>Deuteronômio 7.1–6</w:t>
      </w:r>
      <w:r>
        <w:rPr>
          <w:lang w:val="pt_PT" w:bidi="pt_PT"/>
        </w:rPr>
        <w:t xml:space="preserve">, </w:t>
      </w:r>
      <w:r>
        <w:rPr>
          <w:lang w:val="pt_PT" w:bidi="pt_PT"/>
        </w:rPr>
        <w:t>16–26</w:t>
      </w:r>
      <w:r>
        <w:rPr>
          <w:lang w:val="pt_PT" w:bidi="pt_PT"/>
        </w:rPr>
        <w:t xml:space="preserve">; </w:t>
      </w:r>
      <w:r>
        <w:rPr>
          <w:lang w:val="pt_PT" w:bidi="pt_PT"/>
        </w:rPr>
        <w:t>20.1–4</w:t>
      </w:r>
      <w:r>
        <w:rPr>
          <w:lang w:val="pt_PT" w:bidi="pt_PT"/>
        </w:rPr>
        <w:t xml:space="preserve">, </w:t>
      </w:r>
      <w:r>
        <w:rPr>
          <w:lang w:val="pt_PT" w:bidi="pt_PT"/>
        </w:rPr>
        <w:t>10–18</w:t>
      </w:r>
      <w:r>
        <w:rPr>
          <w:lang w:val="pt_PT" w:bidi="pt_PT"/>
        </w:rPr>
        <w:t xml:space="preserve">; </w:t>
      </w:r>
      <w:r>
        <w:rPr>
          <w:lang w:val="pt_PT" w:bidi="pt_PT"/>
        </w:rPr>
        <w:t>32.8–9</w:t>
      </w:r>
      <w:r>
        <w:rPr>
          <w:lang w:val="pt_PT" w:bidi="pt_PT"/>
        </w:rPr>
        <w:t xml:space="preserve">; </w:t>
      </w:r>
      <w:r>
        <w:rPr>
          <w:lang w:val="pt_PT" w:bidi="pt_PT"/>
        </w:rPr>
        <w:t>Juízes 3.27–30</w:t>
      </w:r>
      <w:r>
        <w:rPr>
          <w:lang w:val="pt_PT" w:bidi="pt_PT"/>
        </w:rPr>
        <w:t xml:space="preserve">; </w:t>
      </w:r>
      <w:r>
        <w:rPr>
          <w:lang w:val="pt_PT" w:bidi="pt_PT"/>
        </w:rPr>
        <w:t>1 Samuel 7.7–11</w:t>
      </w:r>
      <w:r>
        <w:rPr>
          <w:lang w:val="pt_PT" w:bidi="pt_PT"/>
        </w:rPr>
        <w:t xml:space="preserve">; </w:t>
      </w:r>
      <w:r>
        <w:rPr>
          <w:lang w:val="pt_PT" w:bidi="pt_PT"/>
        </w:rPr>
        <w:t>2 Crônicas 13.12–19</w:t>
      </w:r>
      <w:r>
        <w:rPr>
          <w:lang w:val="pt_PT" w:bidi="pt_PT"/>
        </w:rPr>
        <w:t xml:space="preserve">; </w:t>
      </w:r>
      <w:r>
        <w:rPr>
          <w:lang w:val="pt_PT" w:bidi="pt_PT"/>
        </w:rPr>
        <w:t>20.20–24</w:t>
      </w:r>
      <w:r>
        <w:rPr>
          <w:lang w:val="pt_PT" w:bidi="pt_PT"/>
        </w:rPr>
        <w:t xml:space="preserve">; </w:t>
      </w:r>
      <w:r>
        <w:rPr>
          <w:lang w:val="pt_PT" w:bidi="pt_PT"/>
        </w:rPr>
        <w:t>Isaías 13.1–5</w:t>
      </w:r>
      <w:r>
        <w:rPr>
          <w:lang w:val="pt_PT" w:bidi="pt_PT"/>
        </w:rPr>
        <w:t xml:space="preserve">; </w:t>
      </w:r>
      <w:r>
        <w:rPr>
          <w:lang w:val="pt_PT" w:bidi="pt_PT"/>
        </w:rPr>
        <w:t>Joel 3.1–16</w:t>
      </w:r>
      <w:r>
        <w:rPr>
          <w:lang w:val="pt_PT" w:bidi="pt_PT"/>
        </w:rPr>
        <w:t xml:space="preserve">; </w:t>
      </w:r>
      <w:r>
        <w:rPr>
          <w:lang w:val="pt_PT" w:bidi="pt_PT"/>
        </w:rPr>
        <w:t>Mateus 5.9</w:t>
      </w:r>
      <w:r>
        <w:rPr>
          <w:lang w:val="pt_PT" w:bidi="pt_PT"/>
        </w:rPr>
        <w:t xml:space="preserve">; </w:t>
      </w:r>
      <w:r>
        <w:rPr>
          <w:lang w:val="pt_PT" w:bidi="pt_PT"/>
        </w:rPr>
        <w:t>26.50–54</w:t>
      </w:r>
      <w:r>
        <w:rPr>
          <w:lang w:val="pt_PT" w:bidi="pt_PT"/>
        </w:rPr>
        <w:t xml:space="preserve">; </w:t>
      </w:r>
      <w:r>
        <w:rPr>
          <w:lang w:val="pt_PT" w:bidi="pt_PT"/>
        </w:rPr>
        <w:t>Apocalipse 19.11–21</w:t>
      </w:r>
      <w:r>
        <w:rPr>
          <w:lang w:val="pt_PT" w:bidi="pt_PT"/>
        </w:rPr>
        <w:t xml:space="preserve">; </w:t>
      </w:r>
      <w:r>
        <w:rPr>
          <w:lang w:val="pt_PT" w:bidi="pt_PT"/>
        </w:rPr>
        <w:t>20.7–15</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