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Study Notes (Themes)</w:t>
      </w:r>
      <w:r>
        <w:rPr>
          <w:lang w:val="pt_PT" w:bidi="pt_PT"/>
        </w:rPr>
      </w:r>
    </w:p>
    <w:p>
      <w:pPr/>
      <w:r>
        <w:rPr>
          <w:lang w:val="pt_PT" w:bidi="pt_PT"/>
        </w:rPr>
      </w:r>
      <w:r>
        <w:rPr>
          <w:b/>
          <w:lang w:val="pt_PT" w:bidi="pt_PT"/>
        </w:rPr>
        <w:t>Aquifer Open Study Notes (Themes)</w:t>
      </w:r>
    </w:p>
    <w:p>
      <w:pPr/>
      <w:r>
        <w:rPr>
          <w:lang w:val="pt_PT" w:bidi="pt_PT"/>
        </w:rPr>
      </w:r>
      <w:r>
        <w:rPr>
          <w:lang w:val="pt_PT" w:bidi="pt_PT"/>
        </w:rPr>
        <w:t xml:space="preserve">This work is an adaptation of </w:t>
      </w:r>
      <w:r>
        <w:rPr>
          <w:lang w:val="pt_PT" w:bidi="pt_PT"/>
        </w:rPr>
        <w:t>Tyndale Open Study Notes</w:t>
      </w:r>
      <w:r>
        <w:rPr>
          <w:lang w:val="pt_PT" w:bidi="pt_PT"/>
        </w:rPr>
        <w:t xml:space="preserve"> © 2023 Tyndale House Publishers, licensed under the CC BY-SA 4.0 license. The adaptation, </w:t>
      </w:r>
      <w:r>
        <w:rPr>
          <w:lang w:val="pt_PT" w:bidi="pt_PT"/>
        </w:rPr>
        <w:t>Aquifer Open Study Notes</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I</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Identidade da comunidade</w:t>
      </w:r>
      <w:r>
        <w:rPr>
          <w:lang w:val="pt_PT" w:bidi="pt_PT"/>
        </w:rPr>
      </w:r>
    </w:p>
    <w:p>
      <w:pPr/>
      <w:r>
        <w:rPr>
          <w:lang w:val="pt_PT" w:bidi="pt_PT"/>
        </w:rPr>
      </w:r>
      <w:r>
        <w:rPr>
          <w:lang w:val="pt_PT" w:bidi="pt_PT"/>
        </w:rPr>
        <w:t>Em muitas culturas ocidentais, as pessoas frequentemente enfatizam a identidade individual e a independência pessoal. Em contraste, muitas culturas orientais, como as da China e da Índia, priorizam as relações familiares e comunitárias em vez dos interesses individuais. Da mesma forma, no antigo Israel, a identidade e a importância de uma pessoa vinham de seu papel na comunidade. Todos os israelitas eram esperados a compartilhar a identidade da comunidade como os "filhos de Israel" e a demonstrar as características que definiam o grupo.</w:t>
      </w:r>
    </w:p>
    <w:p>
      <w:pPr/>
      <w:r>
        <w:rPr>
          <w:lang w:val="pt_PT" w:bidi="pt_PT"/>
        </w:rPr>
      </w:r>
      <w:r>
        <w:rPr>
          <w:lang w:val="pt_PT" w:bidi="pt_PT"/>
        </w:rPr>
        <w:t>No Antigo Testamento, Deus frequentemente fala a todo o povo no singular, enfatizando sua unidade. Os Dez Mandamentos e a bênção de Arão usam linguagem no singular (</w:t>
      </w:r>
      <w:r>
        <w:rPr>
          <w:lang w:val="pt_PT" w:bidi="pt_PT"/>
        </w:rPr>
        <w:t>Êxodo 20.2–17</w:t>
      </w:r>
      <w:r>
        <w:rPr>
          <w:lang w:val="pt_PT" w:bidi="pt_PT"/>
        </w:rPr>
        <w:t xml:space="preserve">; </w:t>
      </w:r>
      <w:r>
        <w:rPr>
          <w:lang w:val="pt_PT" w:bidi="pt_PT"/>
        </w:rPr>
        <w:t>Números 6.24–26</w:t>
      </w:r>
      <w:r>
        <w:rPr>
          <w:lang w:val="pt_PT" w:bidi="pt_PT"/>
        </w:rPr>
        <w:t>). Uma pessoa poderia representar o grupo, e o grupo poderia ter uma pessoa como representante.</w:t>
      </w:r>
    </w:p>
    <w:p>
      <w:pPr/>
      <w:r>
        <w:rPr>
          <w:lang w:val="pt_PT" w:bidi="pt_PT"/>
        </w:rPr>
      </w:r>
      <w:r>
        <w:rPr>
          <w:lang w:val="pt_PT" w:bidi="pt_PT"/>
        </w:rPr>
        <w:t>Por exemplo, Neemias pede perdão pelos pecados que levaram ao exílio babilônico, dizendo: "Confesso os pecados que nós, israelitas, cometemos" (</w:t>
      </w:r>
      <w:r>
        <w:rPr>
          <w:lang w:val="pt_PT" w:bidi="pt_PT"/>
        </w:rPr>
        <w:t>Neemias 1.6–7</w:t>
      </w:r>
      <w:r>
        <w:rPr>
          <w:lang w:val="pt_PT" w:bidi="pt_PT"/>
        </w:rPr>
        <w:t>). Neemias foi o governador da Judeia de 445 a 433 a.C., cerca de 140 anos após a destruição de Jerusalém em 586 a.C. Portanto, ele não cometeu esses pecados. No entanto, em sua oração, ele se identifica com os pecados de seu povo.</w:t>
      </w:r>
    </w:p>
    <w:p>
      <w:pPr/>
      <w:r>
        <w:rPr>
          <w:lang w:val="pt_PT" w:bidi="pt_PT"/>
        </w:rPr>
      </w:r>
      <w:r>
        <w:rPr>
          <w:lang w:val="pt_PT" w:bidi="pt_PT"/>
        </w:rPr>
        <w:t>De maneira semelhante, o sumo sacerdote podia representar todo o povo no dia da expiação (</w:t>
      </w:r>
      <w:r>
        <w:rPr>
          <w:lang w:val="pt_PT" w:bidi="pt_PT"/>
        </w:rPr>
        <w:t>Levítico 16</w:t>
      </w:r>
      <w:r>
        <w:rPr>
          <w:lang w:val="pt_PT" w:bidi="pt_PT"/>
        </w:rPr>
        <w:t>). Como os indivíduos tinham um vínculo tão próximo com a comunidade, o pecado de uma pessoa podia se tornar o pecado da comunidade se não fosse tratado (</w:t>
      </w:r>
      <w:r>
        <w:rPr>
          <w:lang w:val="pt_PT" w:bidi="pt_PT"/>
        </w:rPr>
        <w:t>Levítico 4.3–21</w:t>
      </w:r>
      <w:r>
        <w:rPr>
          <w:lang w:val="pt_PT" w:bidi="pt_PT"/>
        </w:rPr>
        <w:t xml:space="preserve">; </w:t>
      </w:r>
      <w:r>
        <w:rPr>
          <w:lang w:val="pt_PT" w:bidi="pt_PT"/>
        </w:rPr>
        <w:t>20.1–5</w:t>
      </w:r>
      <w:r>
        <w:rPr>
          <w:lang w:val="pt_PT" w:bidi="pt_PT"/>
        </w:rPr>
        <w:t>).</w:t>
      </w:r>
    </w:p>
    <w:p>
      <w:pPr/>
      <w:r>
        <w:rPr>
          <w:lang w:val="pt_PT" w:bidi="pt_PT"/>
        </w:rPr>
      </w:r>
      <w:r>
        <w:rPr>
          <w:lang w:val="pt_PT" w:bidi="pt_PT"/>
        </w:rPr>
        <w:t>De maneira semelhante, Paulo descreve a comunidade cristã como o "corpo de Cristo" (</w:t>
      </w:r>
      <w:r>
        <w:rPr>
          <w:lang w:val="pt_PT" w:bidi="pt_PT"/>
        </w:rPr>
        <w:t>1 Coríntios 12.27</w:t>
      </w:r>
      <w:r>
        <w:rPr>
          <w:lang w:val="pt_PT" w:bidi="pt_PT"/>
        </w:rPr>
        <w:t xml:space="preserve">; </w:t>
      </w:r>
      <w:r>
        <w:rPr>
          <w:lang w:val="pt_PT" w:bidi="pt_PT"/>
        </w:rPr>
        <w:t>Efésios 4.12</w:t>
      </w:r>
      <w:r>
        <w:rPr>
          <w:lang w:val="pt_PT" w:bidi="pt_PT"/>
        </w:rPr>
        <w:t>). Os membros compartilham a identidade de Cristo através do Espírito Santo. Como o corpo de Cristo, eles manifestam a vida de Cristo em suas próprias vidas. Juntos, eles o revelam ao mundo. O apóstolo Paulo encoraja a igreja da Galácia a ajudar a "carregar os fardos uns dos outros" e assim seguir o exemplo de Cristo (</w:t>
      </w:r>
      <w:r>
        <w:rPr>
          <w:lang w:val="pt_PT" w:bidi="pt_PT"/>
        </w:rPr>
        <w:t>Gálatas 6.2</w:t>
      </w:r>
      <w:r>
        <w:rPr>
          <w:lang w:val="pt_PT" w:bidi="pt_PT"/>
        </w:rPr>
        <w:t xml:space="preserve">; </w:t>
      </w:r>
      <w:r>
        <w:rPr>
          <w:lang w:val="pt_PT" w:bidi="pt_PT"/>
        </w:rPr>
        <w:t>Mateus 11.28–30</w:t>
      </w:r>
      <w:r>
        <w:rPr>
          <w:lang w:val="pt_PT" w:bidi="pt_PT"/>
        </w:rPr>
        <w:t>).</w:t>
      </w:r>
    </w:p>
    <w:p>
      <w:pPr/>
      <w:r>
        <w:rPr>
          <w:lang w:val="pt_PT" w:bidi="pt_PT"/>
        </w:rPr>
      </w:r>
      <w:r>
        <w:rPr>
          <w:u w:val="single"/>
          <w:lang w:val="pt_PT" w:bidi="pt_PT"/>
        </w:rPr>
        <w:t>Passagens para estudo complementar</w:t>
      </w:r>
    </w:p>
    <w:p>
      <w:pPr/>
      <w:r>
        <w:rPr>
          <w:lang w:val="pt_PT" w:bidi="pt_PT"/>
        </w:rPr>
      </w:r>
      <w:r>
        <w:rPr>
          <w:lang w:val="pt_PT" w:bidi="pt_PT"/>
        </w:rPr>
        <w:t>Êxodo 20.5–6</w:t>
      </w:r>
      <w:r>
        <w:rPr>
          <w:lang w:val="pt_PT" w:bidi="pt_PT"/>
        </w:rPr>
        <w:t>,</w:t>
      </w:r>
      <w:r>
        <w:rPr>
          <w:lang w:val="pt_PT" w:bidi="pt_PT"/>
        </w:rPr>
        <w:t>8–10</w:t>
      </w:r>
      <w:r>
        <w:rPr>
          <w:lang w:val="pt_PT" w:bidi="pt_PT"/>
        </w:rPr>
        <w:t xml:space="preserve">; </w:t>
      </w:r>
      <w:r>
        <w:rPr>
          <w:lang w:val="pt_PT" w:bidi="pt_PT"/>
        </w:rPr>
        <w:t>Levítico 4.3–21</w:t>
      </w:r>
      <w:r>
        <w:rPr>
          <w:lang w:val="pt_PT" w:bidi="pt_PT"/>
        </w:rPr>
        <w:t xml:space="preserve">; </w:t>
      </w:r>
      <w:r>
        <w:rPr>
          <w:lang w:val="pt_PT" w:bidi="pt_PT"/>
        </w:rPr>
        <w:t>20.1–5</w:t>
      </w:r>
      <w:r>
        <w:rPr>
          <w:lang w:val="pt_PT" w:bidi="pt_PT"/>
        </w:rPr>
        <w:t xml:space="preserve">; </w:t>
      </w:r>
      <w:r>
        <w:rPr>
          <w:lang w:val="pt_PT" w:bidi="pt_PT"/>
        </w:rPr>
        <w:t>Josué 7.1–26</w:t>
      </w:r>
      <w:r>
        <w:rPr>
          <w:lang w:val="pt_PT" w:bidi="pt_PT"/>
        </w:rPr>
        <w:t xml:space="preserve">; </w:t>
      </w:r>
      <w:r>
        <w:rPr>
          <w:lang w:val="pt_PT" w:bidi="pt_PT"/>
        </w:rPr>
        <w:t>Neemias 1.6–7</w:t>
      </w:r>
      <w:r>
        <w:rPr>
          <w:lang w:val="pt_PT" w:bidi="pt_PT"/>
        </w:rPr>
        <w:t xml:space="preserve">; </w:t>
      </w:r>
      <w:r>
        <w:rPr>
          <w:lang w:val="pt_PT" w:bidi="pt_PT"/>
        </w:rPr>
        <w:t>1 Coríntios 12.12–27</w:t>
      </w:r>
      <w:r>
        <w:rPr>
          <w:lang w:val="pt_PT" w:bidi="pt_PT"/>
        </w:rPr>
        <w:t xml:space="preserve">; </w:t>
      </w:r>
      <w:r>
        <w:rPr>
          <w:lang w:val="pt_PT" w:bidi="pt_PT"/>
        </w:rPr>
        <w:t>Gálatas 6.2</w:t>
      </w:r>
      <w:r>
        <w:rPr>
          <w:lang w:val="pt_PT" w:bidi="pt_PT"/>
        </w:rPr>
        <w:t xml:space="preserve">; </w:t>
      </w:r>
      <w:r>
        <w:rPr>
          <w:lang w:val="pt_PT" w:bidi="pt_PT"/>
        </w:rPr>
        <w:t>Efésios 4.11–13.</w:t>
      </w:r>
      <w:r>
        <w:rPr>
          <w:lang w:val="pt_PT" w:bidi="pt_PT"/>
        </w:rPr>
      </w:r>
      <w:r>
        <w:rPr>
          <w:lang w:val="pt_PT" w:bidi="pt_PT"/>
        </w:rPr>
      </w:r>
    </w:p>
    <w:p>
      <w:pPr/>
      <w:r>
        <w:rPr>
          <w:lang w:val="pt_PT" w:bidi="pt_PT"/>
        </w:rPr>
      </w:r>
    </w:p>
    <w:p>
      <w:pPr>
        <w:pStyle w:val="Heading2"/>
      </w:pPr>
      <w:r>
        <w:rPr>
          <w:lang w:val="pt_PT" w:bidi="pt_PT"/>
        </w:rPr>
        <w:t>Infertilidade</w:t>
      </w:r>
      <w:r>
        <w:rPr>
          <w:lang w:val="pt_PT" w:bidi="pt_PT"/>
        </w:rPr>
      </w:r>
    </w:p>
    <w:p>
      <w:pPr/>
      <w:r>
        <w:rPr>
          <w:lang w:val="pt_PT" w:bidi="pt_PT"/>
        </w:rPr>
      </w:r>
      <w:r>
        <w:rPr>
          <w:lang w:val="pt_PT" w:bidi="pt_PT"/>
        </w:rPr>
        <w:t>Quase todas as esposas dos patriarcas enfrentaram infertilidade (não conseguiam ter filhos) antes de eventualmente terem filhos. A única possível exceção foi Lia, e mesmo ela não pôde ter filhos por algum tempo (</w:t>
      </w:r>
      <w:r>
        <w:rPr>
          <w:lang w:val="pt_PT" w:bidi="pt_PT"/>
        </w:rPr>
        <w:t>Gênesis 11.30</w:t>
      </w:r>
      <w:r>
        <w:rPr>
          <w:lang w:val="pt_PT" w:bidi="pt_PT"/>
        </w:rPr>
        <w:t xml:space="preserve">; </w:t>
      </w:r>
      <w:r>
        <w:rPr>
          <w:lang w:val="pt_PT" w:bidi="pt_PT"/>
        </w:rPr>
        <w:t>25.21</w:t>
      </w:r>
      <w:r>
        <w:rPr>
          <w:lang w:val="pt_PT" w:bidi="pt_PT"/>
        </w:rPr>
        <w:t xml:space="preserve">; </w:t>
      </w:r>
      <w:r>
        <w:rPr>
          <w:lang w:val="pt_PT" w:bidi="pt_PT"/>
        </w:rPr>
        <w:t>29.31</w:t>
      </w:r>
      <w:r>
        <w:rPr>
          <w:lang w:val="pt_PT" w:bidi="pt_PT"/>
        </w:rPr>
        <w:t xml:space="preserve">; veja também </w:t>
      </w:r>
      <w:r>
        <w:rPr>
          <w:lang w:val="pt_PT" w:bidi="pt_PT"/>
        </w:rPr>
        <w:t>1 Samuel 1.1–18</w:t>
      </w:r>
      <w:r>
        <w:rPr>
          <w:lang w:val="pt_PT" w:bidi="pt_PT"/>
        </w:rPr>
        <w:t>). As crianças davam continuidade à linha familiar, protegiam a tribo e forneciam mão de obra. Elas garantiam que a propriedade permanecesse dentro da família, ajudavam na velhice e realizavam cerimônias fúnebres adequadas.</w:t>
      </w:r>
    </w:p>
    <w:p>
      <w:pPr/>
      <w:r>
        <w:rPr>
          <w:lang w:val="pt_PT" w:bidi="pt_PT"/>
        </w:rPr>
      </w:r>
      <w:r>
        <w:rPr>
          <w:lang w:val="pt_PT" w:bidi="pt_PT"/>
        </w:rPr>
        <w:t>Portanto, a infertilidade era uma desgraça séria para uma mulher naquela cultura (</w:t>
      </w:r>
      <w:r>
        <w:rPr>
          <w:lang w:val="pt_PT" w:bidi="pt_PT"/>
        </w:rPr>
        <w:t>Salmos 113.9</w:t>
      </w:r>
      <w:r>
        <w:rPr>
          <w:lang w:val="pt_PT" w:bidi="pt_PT"/>
        </w:rPr>
        <w:t xml:space="preserve">; </w:t>
      </w:r>
      <w:r>
        <w:rPr>
          <w:lang w:val="pt_PT" w:bidi="pt_PT"/>
        </w:rPr>
        <w:t>Provérbios 30.15–16</w:t>
      </w:r>
      <w:r>
        <w:rPr>
          <w:lang w:val="pt_PT" w:bidi="pt_PT"/>
        </w:rPr>
        <w:t xml:space="preserve">; </w:t>
      </w:r>
      <w:r>
        <w:rPr>
          <w:lang w:val="pt_PT" w:bidi="pt_PT"/>
        </w:rPr>
        <w:t>Isaías 54.1</w:t>
      </w:r>
      <w:r>
        <w:rPr>
          <w:lang w:val="pt_PT" w:bidi="pt_PT"/>
        </w:rPr>
        <w:t>). Ela se via como um vaso de vida (</w:t>
      </w:r>
      <w:r>
        <w:rPr>
          <w:lang w:val="pt_PT" w:bidi="pt_PT"/>
        </w:rPr>
        <w:t>Gênesis 1.28</w:t>
      </w:r>
      <w:r>
        <w:rPr>
          <w:lang w:val="pt_PT" w:bidi="pt_PT"/>
        </w:rPr>
        <w:t xml:space="preserve">; </w:t>
      </w:r>
      <w:r>
        <w:rPr>
          <w:lang w:val="pt_PT" w:bidi="pt_PT"/>
        </w:rPr>
        <w:t>3.20</w:t>
      </w:r>
      <w:r>
        <w:rPr>
          <w:lang w:val="pt_PT" w:bidi="pt_PT"/>
        </w:rPr>
        <w:t>). Assim, as pessoas consideravam isso como uma negação de bênção, propósito e desejo (</w:t>
      </w:r>
      <w:r>
        <w:rPr>
          <w:lang w:val="pt_PT" w:bidi="pt_PT"/>
        </w:rPr>
        <w:t>1.28</w:t>
      </w:r>
      <w:r>
        <w:rPr>
          <w:lang w:val="pt_PT" w:bidi="pt_PT"/>
        </w:rPr>
        <w:t>). A infertilidade trazia vergonha, ridículo e intensa inveja (</w:t>
      </w:r>
      <w:r>
        <w:rPr>
          <w:lang w:val="pt_PT" w:bidi="pt_PT"/>
        </w:rPr>
        <w:t>1 Samuel 1.7</w:t>
      </w:r>
      <w:r>
        <w:rPr>
          <w:lang w:val="pt_PT" w:bidi="pt_PT"/>
        </w:rPr>
        <w:t xml:space="preserve">; </w:t>
      </w:r>
      <w:r>
        <w:rPr>
          <w:lang w:val="pt_PT" w:bidi="pt_PT"/>
        </w:rPr>
        <w:t>Gênesis 16.4</w:t>
      </w:r>
      <w:r>
        <w:rPr>
          <w:lang w:val="pt_PT" w:bidi="pt_PT"/>
        </w:rPr>
        <w:t xml:space="preserve">; </w:t>
      </w:r>
      <w:r>
        <w:rPr>
          <w:lang w:val="pt_PT" w:bidi="pt_PT"/>
        </w:rPr>
        <w:t>30.1</w:t>
      </w:r>
      <w:r>
        <w:rPr>
          <w:lang w:val="pt_PT" w:bidi="pt_PT"/>
        </w:rPr>
        <w:t>).</w:t>
      </w:r>
    </w:p>
    <w:p>
      <w:pPr/>
      <w:r>
        <w:rPr>
          <w:lang w:val="pt_PT" w:bidi="pt_PT"/>
        </w:rPr>
      </w:r>
      <w:r>
        <w:rPr>
          <w:lang w:val="pt_PT" w:bidi="pt_PT"/>
        </w:rPr>
        <w:t>No Antigo Testamento, a falta de filhos é uma questão relacionada a Deus. O Criador controla a fertilidade (</w:t>
      </w:r>
      <w:r>
        <w:rPr>
          <w:lang w:val="pt_PT" w:bidi="pt_PT"/>
        </w:rPr>
        <w:t>Gênesis 20.17–18</w:t>
      </w:r>
      <w:r>
        <w:rPr>
          <w:lang w:val="pt_PT" w:bidi="pt_PT"/>
        </w:rPr>
        <w:t xml:space="preserve">; </w:t>
      </w:r>
      <w:r>
        <w:rPr>
          <w:lang w:val="pt_PT" w:bidi="pt_PT"/>
        </w:rPr>
        <w:t>30.2</w:t>
      </w:r>
      <w:r>
        <w:rPr>
          <w:lang w:val="pt_PT" w:bidi="pt_PT"/>
        </w:rPr>
        <w:t>,</w:t>
      </w:r>
      <w:r>
        <w:rPr>
          <w:lang w:val="pt_PT" w:bidi="pt_PT"/>
        </w:rPr>
        <w:t>22–23</w:t>
      </w:r>
      <w:r>
        <w:rPr>
          <w:lang w:val="pt_PT" w:bidi="pt_PT"/>
        </w:rPr>
        <w:t xml:space="preserve">; </w:t>
      </w:r>
      <w:r>
        <w:rPr>
          <w:lang w:val="pt_PT" w:bidi="pt_PT"/>
        </w:rPr>
        <w:t>1 Samuel 1.6</w:t>
      </w:r>
      <w:r>
        <w:rPr>
          <w:lang w:val="pt_PT" w:bidi="pt_PT"/>
        </w:rPr>
        <w:t>,</w:t>
      </w:r>
      <w:r>
        <w:rPr>
          <w:lang w:val="pt_PT" w:bidi="pt_PT"/>
        </w:rPr>
        <w:t>27</w:t>
      </w:r>
      <w:r>
        <w:rPr>
          <w:lang w:val="pt_PT" w:bidi="pt_PT"/>
        </w:rPr>
        <w:t>). Ele decide quem pode ter filhos com base em seus planos e promessas (</w:t>
      </w:r>
      <w:r>
        <w:rPr>
          <w:lang w:val="pt_PT" w:bidi="pt_PT"/>
        </w:rPr>
        <w:t>Gênesis 17.19</w:t>
      </w:r>
      <w:r>
        <w:rPr>
          <w:lang w:val="pt_PT" w:bidi="pt_PT"/>
        </w:rPr>
        <w:t xml:space="preserve">; </w:t>
      </w:r>
      <w:r>
        <w:rPr>
          <w:lang w:val="pt_PT" w:bidi="pt_PT"/>
        </w:rPr>
        <w:t>30.2</w:t>
      </w:r>
      <w:r>
        <w:rPr>
          <w:lang w:val="pt_PT" w:bidi="pt_PT"/>
        </w:rPr>
        <w:t xml:space="preserve">; </w:t>
      </w:r>
      <w:r>
        <w:rPr>
          <w:lang w:val="pt_PT" w:bidi="pt_PT"/>
        </w:rPr>
        <w:t>Salmos 113.9</w:t>
      </w:r>
      <w:r>
        <w:rPr>
          <w:lang w:val="pt_PT" w:bidi="pt_PT"/>
        </w:rPr>
        <w:t xml:space="preserve">; </w:t>
      </w:r>
      <w:r>
        <w:rPr>
          <w:lang w:val="pt_PT" w:bidi="pt_PT"/>
        </w:rPr>
        <w:t>Lucas 1.11–20</w:t>
      </w:r>
      <w:r>
        <w:rPr>
          <w:lang w:val="pt_PT" w:bidi="pt_PT"/>
        </w:rPr>
        <w:t xml:space="preserve">; </w:t>
      </w:r>
      <w:r>
        <w:rPr>
          <w:lang w:val="pt_PT" w:bidi="pt_PT"/>
        </w:rPr>
        <w:t>Romanos 4.19</w:t>
      </w:r>
      <w:r>
        <w:rPr>
          <w:lang w:val="pt_PT" w:bidi="pt_PT"/>
        </w:rPr>
        <w:t>). Deus frequentemente usava a infertilidade antes do nascimento de um prometido ou criança especial, para mostrar que era obra dele.</w:t>
      </w:r>
    </w:p>
    <w:p>
      <w:pPr/>
      <w:r>
        <w:rPr>
          <w:lang w:val="pt_PT" w:bidi="pt_PT"/>
        </w:rPr>
      </w:r>
      <w:r>
        <w:rPr>
          <w:lang w:val="pt_PT" w:bidi="pt_PT"/>
        </w:rPr>
        <w:t>Não poder ter filhos testa a paciência e encoraja a oração e a fé (</w:t>
      </w:r>
      <w:r>
        <w:rPr>
          <w:lang w:val="pt_PT" w:bidi="pt_PT"/>
        </w:rPr>
        <w:t>Gênesis 25.21</w:t>
      </w:r>
      <w:r>
        <w:rPr>
          <w:lang w:val="pt_PT" w:bidi="pt_PT"/>
        </w:rPr>
        <w:t xml:space="preserve">; </w:t>
      </w:r>
      <w:r>
        <w:rPr>
          <w:lang w:val="pt_PT" w:bidi="pt_PT"/>
        </w:rPr>
        <w:t>1 Samuel 1.11</w:t>
      </w:r>
      <w:r>
        <w:rPr>
          <w:lang w:val="pt_PT" w:bidi="pt_PT"/>
        </w:rPr>
        <w:t>). Abraão aprendeu a confiar na promessa de Deus muito antes de seu filho nascer (</w:t>
      </w:r>
      <w:r>
        <w:rPr>
          <w:lang w:val="pt_PT" w:bidi="pt_PT"/>
        </w:rPr>
        <w:t>Gênesis 15.4–6</w:t>
      </w:r>
      <w:r>
        <w:rPr>
          <w:lang w:val="pt_PT" w:bidi="pt_PT"/>
        </w:rPr>
        <w:t xml:space="preserve">; </w:t>
      </w:r>
      <w:r>
        <w:rPr>
          <w:lang w:val="pt_PT" w:bidi="pt_PT"/>
        </w:rPr>
        <w:t>17.15–21</w:t>
      </w:r>
      <w:r>
        <w:rPr>
          <w:lang w:val="pt_PT" w:bidi="pt_PT"/>
        </w:rPr>
        <w:t xml:space="preserve">; </w:t>
      </w:r>
      <w:r>
        <w:rPr>
          <w:lang w:val="pt_PT" w:bidi="pt_PT"/>
        </w:rPr>
        <w:t>Romanos 4.20–22</w:t>
      </w:r>
      <w:r>
        <w:rPr>
          <w:lang w:val="pt_PT" w:bidi="pt_PT"/>
        </w:rPr>
        <w:t>). Quando um casal infértil tem um filho, isso demonstra a fidelidade e o poder criativo de Deus.</w:t>
      </w:r>
    </w:p>
    <w:p>
      <w:pPr/>
      <w:r>
        <w:rPr>
          <w:lang w:val="pt_PT" w:bidi="pt_PT"/>
        </w:rPr>
      </w:r>
      <w:r>
        <w:rPr>
          <w:lang w:val="pt_PT" w:bidi="pt_PT"/>
        </w:rPr>
        <w:t>Os atrasos de Deus nem sempre significam negação. Eles lembram as pessoas de usar os desafios para o crescimento e de apreciar as crianças como presentes. Um lar sem filhos pode se concentrar na devoção a Deus, aceitando sua vontade. Alguns casais podem permanecer incapazes de ter filhos por toda a vida. O povo de Deus não deve isolar aqueles que estão passando por infertilidade. Em vez disso, deve oferecer amor e apoio.</w:t>
      </w:r>
    </w:p>
    <w:p>
      <w:pPr/>
      <w:r>
        <w:rPr>
          <w:lang w:val="pt_PT" w:bidi="pt_PT"/>
        </w:rPr>
      </w:r>
      <w:r>
        <w:rPr>
          <w:u w:val="single"/>
          <w:lang w:val="pt_PT" w:bidi="pt_PT"/>
        </w:rPr>
        <w:t>Passagens para estudo complementar</w:t>
      </w:r>
    </w:p>
    <w:p>
      <w:pPr/>
      <w:r>
        <w:rPr>
          <w:lang w:val="pt_PT" w:bidi="pt_PT"/>
        </w:rPr>
      </w:r>
      <w:r>
        <w:rPr>
          <w:lang w:val="pt_PT" w:bidi="pt_PT"/>
        </w:rPr>
        <w:t>Gênesis 16.1–6</w:t>
      </w:r>
      <w:r>
        <w:rPr>
          <w:lang w:val="pt_PT" w:bidi="pt_PT"/>
        </w:rPr>
        <w:t xml:space="preserve">; </w:t>
      </w:r>
      <w:r>
        <w:rPr>
          <w:lang w:val="pt_PT" w:bidi="pt_PT"/>
        </w:rPr>
        <w:t>17.15–21</w:t>
      </w:r>
      <w:r>
        <w:rPr>
          <w:lang w:val="pt_PT" w:bidi="pt_PT"/>
        </w:rPr>
        <w:t xml:space="preserve">; </w:t>
      </w:r>
      <w:r>
        <w:rPr>
          <w:lang w:val="pt_PT" w:bidi="pt_PT"/>
        </w:rPr>
        <w:t>20.17–18</w:t>
      </w:r>
      <w:r>
        <w:rPr>
          <w:lang w:val="pt_PT" w:bidi="pt_PT"/>
        </w:rPr>
        <w:t xml:space="preserve">; </w:t>
      </w:r>
      <w:r>
        <w:rPr>
          <w:lang w:val="pt_PT" w:bidi="pt_PT"/>
        </w:rPr>
        <w:t>25.21</w:t>
      </w:r>
      <w:r>
        <w:rPr>
          <w:lang w:val="pt_PT" w:bidi="pt_PT"/>
        </w:rPr>
        <w:t xml:space="preserve">; </w:t>
      </w:r>
      <w:r>
        <w:rPr>
          <w:lang w:val="pt_PT" w:bidi="pt_PT"/>
        </w:rPr>
        <w:t>29.31</w:t>
      </w:r>
      <w:r>
        <w:rPr>
          <w:lang w:val="pt_PT" w:bidi="pt_PT"/>
        </w:rPr>
        <w:t xml:space="preserve">; </w:t>
      </w:r>
      <w:r>
        <w:rPr>
          <w:lang w:val="pt_PT" w:bidi="pt_PT"/>
        </w:rPr>
        <w:t>30.1–2</w:t>
      </w:r>
      <w:r>
        <w:rPr>
          <w:lang w:val="pt_PT" w:bidi="pt_PT"/>
        </w:rPr>
        <w:t xml:space="preserve">, </w:t>
      </w:r>
      <w:r>
        <w:rPr>
          <w:lang w:val="pt_PT" w:bidi="pt_PT"/>
        </w:rPr>
        <w:t>22–24</w:t>
      </w:r>
      <w:r>
        <w:rPr>
          <w:lang w:val="pt_PT" w:bidi="pt_PT"/>
        </w:rPr>
        <w:t xml:space="preserve">; </w:t>
      </w:r>
      <w:r>
        <w:rPr>
          <w:lang w:val="pt_PT" w:bidi="pt_PT"/>
        </w:rPr>
        <w:t>Êxodo 23.25–26</w:t>
      </w:r>
      <w:r>
        <w:rPr>
          <w:lang w:val="pt_PT" w:bidi="pt_PT"/>
        </w:rPr>
        <w:t xml:space="preserve">; </w:t>
      </w:r>
      <w:r>
        <w:rPr>
          <w:lang w:val="pt_PT" w:bidi="pt_PT"/>
        </w:rPr>
        <w:t>Deuteronômio 7.12–15</w:t>
      </w:r>
      <w:r>
        <w:rPr>
          <w:lang w:val="pt_PT" w:bidi="pt_PT"/>
        </w:rPr>
        <w:t xml:space="preserve">; </w:t>
      </w:r>
      <w:r>
        <w:rPr>
          <w:lang w:val="pt_PT" w:bidi="pt_PT"/>
        </w:rPr>
        <w:t>Juízes 13.2–5</w:t>
      </w:r>
      <w:r>
        <w:rPr>
          <w:lang w:val="pt_PT" w:bidi="pt_PT"/>
        </w:rPr>
        <w:t xml:space="preserve">; </w:t>
      </w:r>
      <w:r>
        <w:rPr>
          <w:lang w:val="pt_PT" w:bidi="pt_PT"/>
        </w:rPr>
        <w:t>1 Samuel 1.2–28</w:t>
      </w:r>
      <w:r>
        <w:rPr>
          <w:lang w:val="pt_PT" w:bidi="pt_PT"/>
        </w:rPr>
        <w:t xml:space="preserve">; </w:t>
      </w:r>
      <w:r>
        <w:rPr>
          <w:lang w:val="pt_PT" w:bidi="pt_PT"/>
        </w:rPr>
        <w:t>2.5–7</w:t>
      </w:r>
      <w:r>
        <w:rPr>
          <w:lang w:val="pt_PT" w:bidi="pt_PT"/>
        </w:rPr>
        <w:t xml:space="preserve">; </w:t>
      </w:r>
      <w:r>
        <w:rPr>
          <w:lang w:val="pt_PT" w:bidi="pt_PT"/>
        </w:rPr>
        <w:t>Salmos 113.5–9</w:t>
      </w:r>
      <w:r>
        <w:rPr>
          <w:lang w:val="pt_PT" w:bidi="pt_PT"/>
        </w:rPr>
        <w:t xml:space="preserve">; </w:t>
      </w:r>
      <w:r>
        <w:rPr>
          <w:lang w:val="pt_PT" w:bidi="pt_PT"/>
        </w:rPr>
        <w:t>Isaías 54.1–3</w:t>
      </w:r>
      <w:r>
        <w:rPr>
          <w:lang w:val="pt_PT" w:bidi="pt_PT"/>
        </w:rPr>
        <w:t xml:space="preserve">; </w:t>
      </w:r>
      <w:r>
        <w:rPr>
          <w:lang w:val="pt_PT" w:bidi="pt_PT"/>
        </w:rPr>
        <w:t>Lucas 1.5–25</w:t>
      </w:r>
      <w:r>
        <w:rPr>
          <w:lang w:val="pt_PT" w:bidi="pt_PT"/>
        </w:rPr>
        <w:t xml:space="preserve">; </w:t>
      </w:r>
      <w:r>
        <w:rPr>
          <w:lang w:val="pt_PT" w:bidi="pt_PT"/>
        </w:rPr>
        <w:t>Romanos 4.19–22</w:t>
      </w:r>
      <w:r>
        <w:rPr>
          <w:lang w:val="pt_PT" w:bidi="pt_PT"/>
        </w:rPr>
        <w:t xml:space="preserve">; </w:t>
      </w:r>
      <w:r>
        <w:rPr>
          <w:lang w:val="pt_PT" w:bidi="pt_PT"/>
        </w:rPr>
        <w:t>Gálatas 4.24–28</w:t>
      </w:r>
      <w:r>
        <w:rPr>
          <w:lang w:val="pt_PT" w:bidi="pt_PT"/>
        </w:rPr>
        <w:t xml:space="preserve">; </w:t>
      </w:r>
      <w:r>
        <w:rPr>
          <w:lang w:val="pt_PT" w:bidi="pt_PT"/>
        </w:rPr>
        <w:t>Hebreus 11.11–12</w:t>
      </w:r>
      <w:r>
        <w:rPr>
          <w:lang w:val="pt_PT" w:bidi="pt_PT"/>
        </w:rPr>
      </w:r>
      <w:r>
        <w:rPr>
          <w:lang w:val="pt_PT" w:bidi="pt_PT"/>
        </w:rPr>
      </w:r>
    </w:p>
    <w:p>
      <w:pPr/>
      <w:r>
        <w:rPr>
          <w:lang w:val="pt_PT" w:bidi="pt_PT"/>
        </w:rPr>
      </w:r>
    </w:p>
    <w:p>
      <w:pPr>
        <w:pStyle w:val="Heading2"/>
      </w:pPr>
      <w:r>
        <w:rPr>
          <w:lang w:val="pt_PT" w:bidi="pt_PT"/>
        </w:rPr>
        <w:t>Instruções de Deus</w:t>
      </w:r>
      <w:r>
        <w:rPr>
          <w:lang w:val="pt_PT" w:bidi="pt_PT"/>
        </w:rPr>
      </w:r>
    </w:p>
    <w:p>
      <w:pPr/>
      <w:r>
        <w:rPr>
          <w:lang w:val="pt_PT" w:bidi="pt_PT"/>
        </w:rPr>
      </w:r>
      <w:r>
        <w:rPr>
          <w:lang w:val="pt_PT" w:bidi="pt_PT"/>
        </w:rPr>
        <w:t xml:space="preserve">A palavra hebraica comum </w:t>
      </w:r>
      <w:r>
        <w:rPr>
          <w:i/>
          <w:lang w:val="pt_PT" w:bidi="pt_PT"/>
        </w:rPr>
        <w:t>torah</w:t>
      </w:r>
      <w:r>
        <w:rPr>
          <w:lang w:val="pt_PT" w:bidi="pt_PT"/>
        </w:rPr>
        <w:t xml:space="preserve"> é geralmente traduzida como "lei" na maioria das versões em inglês. Esta tradução vem da palavra grega </w:t>
      </w:r>
      <w:r>
        <w:rPr>
          <w:i/>
          <w:lang w:val="pt_PT" w:bidi="pt_PT"/>
        </w:rPr>
        <w:t>nomos</w:t>
      </w:r>
      <w:r>
        <w:rPr>
          <w:lang w:val="pt_PT" w:bidi="pt_PT"/>
        </w:rPr>
        <w:t xml:space="preserve">, que muitas vezes significa "lei". A Septuaginta (o antigo Antigo Testamento traduzido em grego) usou </w:t>
      </w:r>
      <w:r>
        <w:rPr>
          <w:i/>
          <w:lang w:val="pt_PT" w:bidi="pt_PT"/>
        </w:rPr>
        <w:t>nomos</w:t>
      </w:r>
      <w:r>
        <w:rPr>
          <w:lang w:val="pt_PT" w:bidi="pt_PT"/>
        </w:rPr>
        <w:t xml:space="preserve"> para traduzir </w:t>
      </w:r>
      <w:r>
        <w:rPr>
          <w:i/>
          <w:lang w:val="pt_PT" w:bidi="pt_PT"/>
        </w:rPr>
        <w:t>torah</w:t>
      </w:r>
      <w:r>
        <w:rPr>
          <w:lang w:val="pt_PT" w:bidi="pt_PT"/>
        </w:rPr>
        <w:t xml:space="preserve">. No entanto, </w:t>
      </w:r>
      <w:r>
        <w:rPr>
          <w:i/>
          <w:lang w:val="pt_PT" w:bidi="pt_PT"/>
        </w:rPr>
        <w:t>torah</w:t>
      </w:r>
      <w:r>
        <w:rPr>
          <w:lang w:val="pt_PT" w:bidi="pt_PT"/>
        </w:rPr>
        <w:t xml:space="preserve"> basicamente significa "ensinamento", "instrução" ou "doutrina".</w:t>
      </w:r>
    </w:p>
    <w:p>
      <w:pPr/>
      <w:r>
        <w:rPr>
          <w:lang w:val="pt_PT" w:bidi="pt_PT"/>
        </w:rPr>
      </w:r>
      <w:r>
        <w:rPr>
          <w:lang w:val="pt_PT" w:bidi="pt_PT"/>
        </w:rPr>
        <w:t xml:space="preserve">O termo </w:t>
      </w:r>
      <w:r>
        <w:rPr>
          <w:i/>
          <w:lang w:val="pt_PT" w:bidi="pt_PT"/>
        </w:rPr>
        <w:t>lei</w:t>
      </w:r>
      <w:r>
        <w:rPr>
          <w:lang w:val="pt_PT" w:bidi="pt_PT"/>
        </w:rPr>
        <w:t xml:space="preserve"> muitas vezes faz as pessoas pensarem em regras impostas por uma autoridade externa, como um governo. É frequentemente considerado estrito e rígido. No entanto, a </w:t>
      </w:r>
      <w:r>
        <w:rPr>
          <w:i/>
          <w:lang w:val="pt_PT" w:bidi="pt_PT"/>
        </w:rPr>
        <w:t>torá</w:t>
      </w:r>
      <w:r>
        <w:rPr>
          <w:lang w:val="pt_PT" w:bidi="pt_PT"/>
        </w:rPr>
        <w:t xml:space="preserve"> de Moisés oferece instruções, incluindo:</w:t>
      </w:r>
    </w:p>
    <w:p>
      <w:pPr>
        <w:pStyle w:val="ListBullet"/>
        <w:spacing w:line="240" w:lineRule="auto"/>
        <w:ind w:left="720"/>
      </w:pPr>
      <w:r>
        <w:rPr>
          <w:lang w:val="pt_PT" w:bidi="pt_PT"/>
        </w:rPr>
      </w:r>
      <w:r>
        <w:rPr>
          <w:lang w:val="pt_PT" w:bidi="pt_PT"/>
        </w:rPr>
        <w:t>Regras</w:t>
      </w:r>
    </w:p>
    <w:p>
      <w:pPr>
        <w:pStyle w:val="ListBullet"/>
        <w:spacing w:line="240" w:lineRule="auto"/>
        <w:ind w:left="720"/>
      </w:pPr>
      <w:r>
        <w:rPr>
          <w:lang w:val="pt_PT" w:bidi="pt_PT"/>
        </w:rPr>
      </w:r>
      <w:r>
        <w:rPr>
          <w:lang w:val="pt_PT" w:bidi="pt_PT"/>
        </w:rPr>
        <w:t>Histórias (</w:t>
      </w:r>
      <w:r>
        <w:rPr>
          <w:lang w:val="pt_PT" w:bidi="pt_PT"/>
        </w:rPr>
        <w:t>Levítico 10.1–3</w:t>
      </w:r>
      <w:r>
        <w:rPr>
          <w:lang w:val="pt_PT" w:bidi="pt_PT"/>
        </w:rPr>
        <w:t>)</w:t>
      </w:r>
    </w:p>
    <w:p>
      <w:pPr>
        <w:pStyle w:val="ListBullet"/>
        <w:spacing w:line="240" w:lineRule="auto"/>
        <w:ind w:left="720"/>
      </w:pPr>
      <w:r>
        <w:rPr>
          <w:lang w:val="pt_PT" w:bidi="pt_PT"/>
        </w:rPr>
      </w:r>
      <w:r>
        <w:rPr>
          <w:lang w:val="pt_PT" w:bidi="pt_PT"/>
        </w:rPr>
        <w:t>Poesia (</w:t>
      </w:r>
      <w:r>
        <w:rPr>
          <w:lang w:val="pt_PT" w:bidi="pt_PT"/>
        </w:rPr>
        <w:t>Deuteronômio 32.1–43</w:t>
      </w:r>
      <w:r>
        <w:rPr>
          <w:lang w:val="pt_PT" w:bidi="pt_PT"/>
        </w:rPr>
        <w:t>)</w:t>
      </w:r>
    </w:p>
    <w:p>
      <w:pPr>
        <w:pStyle w:val="ListBullet"/>
        <w:spacing w:line="240" w:lineRule="auto"/>
        <w:ind w:left="720"/>
      </w:pPr>
      <w:r>
        <w:rPr>
          <w:lang w:val="pt_PT" w:bidi="pt_PT"/>
        </w:rPr>
      </w:r>
      <w:r>
        <w:rPr>
          <w:lang w:val="pt_PT" w:bidi="pt_PT"/>
        </w:rPr>
        <w:t>Listas de linhagens familiares (</w:t>
      </w:r>
      <w:r>
        <w:rPr>
          <w:lang w:val="pt_PT" w:bidi="pt_PT"/>
        </w:rPr>
        <w:t>Êxodo 6.14–25</w:t>
      </w:r>
      <w:r>
        <w:rPr>
          <w:lang w:val="pt_PT" w:bidi="pt_PT"/>
        </w:rPr>
        <w:t>)</w:t>
      </w:r>
    </w:p>
    <w:p>
      <w:pPr>
        <w:pStyle w:val="ListBullet"/>
        <w:spacing w:line="240" w:lineRule="auto"/>
        <w:ind w:left="720"/>
      </w:pPr>
      <w:r>
        <w:rPr>
          <w:lang w:val="pt_PT" w:bidi="pt_PT"/>
        </w:rPr>
      </w:r>
      <w:r>
        <w:rPr>
          <w:lang w:val="pt_PT" w:bidi="pt_PT"/>
        </w:rPr>
        <w:t>Outras formas de literatura</w:t>
      </w:r>
    </w:p>
    <w:p>
      <w:pPr/>
      <w:r>
        <w:rPr>
          <w:lang w:val="pt_PT" w:bidi="pt_PT"/>
        </w:rPr>
      </w:r>
      <w:r>
        <w:rPr>
          <w:lang w:val="pt_PT" w:bidi="pt_PT"/>
        </w:rPr>
        <w:t xml:space="preserve">Outras palavras são traduzidas como "lei" e fazem parte das instruções dadas aos israelitas. Por exemplo, </w:t>
      </w:r>
      <w:r>
        <w:rPr>
          <w:i/>
          <w:lang w:val="pt_PT" w:bidi="pt_PT"/>
        </w:rPr>
        <w:t>khoq</w:t>
      </w:r>
      <w:r>
        <w:rPr>
          <w:lang w:val="pt_PT" w:bidi="pt_PT"/>
        </w:rPr>
        <w:t xml:space="preserve">, que significa "estatuto", refere-se a uma lei dada por um legislador (por exemplo, </w:t>
      </w:r>
      <w:r>
        <w:rPr>
          <w:lang w:val="pt_PT" w:bidi="pt_PT"/>
        </w:rPr>
        <w:t>Levítico 6.22</w:t>
      </w:r>
      <w:r>
        <w:rPr>
          <w:lang w:val="pt_PT" w:bidi="pt_PT"/>
        </w:rPr>
        <w:t>). Declara um princípio geral, permitindo que o contexto ou os tribunais interpretem como aplicá-lo.</w:t>
      </w:r>
    </w:p>
    <w:p>
      <w:pPr/>
      <w:r>
        <w:rPr>
          <w:lang w:val="pt_PT" w:bidi="pt_PT"/>
        </w:rPr>
      </w:r>
      <w:r>
        <w:rPr>
          <w:lang w:val="pt_PT" w:bidi="pt_PT"/>
        </w:rPr>
        <w:t xml:space="preserve">Em </w:t>
      </w:r>
      <w:r>
        <w:rPr>
          <w:lang w:val="pt_PT" w:bidi="pt_PT"/>
        </w:rPr>
        <w:t>Levítico 18.4–5</w:t>
      </w:r>
      <w:r>
        <w:rPr>
          <w:lang w:val="pt_PT" w:bidi="pt_PT"/>
        </w:rPr>
        <w:t xml:space="preserve"> e </w:t>
      </w:r>
      <w:r>
        <w:rPr>
          <w:lang w:val="pt_PT" w:bidi="pt_PT"/>
        </w:rPr>
        <w:t>19.37</w:t>
      </w:r>
      <w:r>
        <w:rPr>
          <w:lang w:val="pt_PT" w:bidi="pt_PT"/>
        </w:rPr>
        <w:t xml:space="preserve">, a palavra hebraica </w:t>
      </w:r>
      <w:r>
        <w:rPr>
          <w:i/>
          <w:lang w:val="pt_PT" w:bidi="pt_PT"/>
        </w:rPr>
        <w:t>khuqqah</w:t>
      </w:r>
      <w:r>
        <w:rPr>
          <w:lang w:val="pt_PT" w:bidi="pt_PT"/>
        </w:rPr>
        <w:t xml:space="preserve"> (que significa "decretos") é ligada com a palavra </w:t>
      </w:r>
      <w:r>
        <w:rPr>
          <w:i/>
          <w:lang w:val="pt_PT" w:bidi="pt_PT"/>
        </w:rPr>
        <w:t>mishpatim</w:t>
      </w:r>
      <w:r>
        <w:rPr>
          <w:lang w:val="pt_PT" w:bidi="pt_PT"/>
        </w:rPr>
        <w:t xml:space="preserve"> (que significa "regulamentos"). Estas são leis de casos. É impossível escrever leis para todas as situações. Uma lei de caso refere-se à interpretação anterior de um estatuto pelo tribunal em certos casos. As decisões passadas do tribunal orientam casos semelhantes no tempo presente.</w:t>
      </w:r>
    </w:p>
    <w:p>
      <w:pPr/>
      <w:r>
        <w:rPr>
          <w:lang w:val="pt_PT" w:bidi="pt_PT"/>
        </w:rPr>
      </w:r>
      <w:r>
        <w:rPr>
          <w:lang w:val="pt_PT" w:bidi="pt_PT"/>
        </w:rPr>
        <w:t>A lei é necessária porque sempre haverá pessoas que precisam dela para serem contidas de pecar. "Lei" pode descrever grande parte do Antigo Testamento, a Torá</w:t>
      </w:r>
      <w:r>
        <w:rPr>
          <w:i/>
          <w:lang w:val="pt_PT" w:bidi="pt_PT"/>
        </w:rPr>
        <w:t>.</w:t>
      </w:r>
      <w:r>
        <w:rPr>
          <w:lang w:val="pt_PT" w:bidi="pt_PT"/>
        </w:rPr>
        <w:t xml:space="preserve"> De forma mais geral, a Torá ensina o povo de Deus sobre ele e qual é o relacionamento deles com Ele. De forma semelhante, ensinar a doutrina e como viver piedosamente são partes essenciais da igreja cristã e de sua mensagem que dá vida ao mundo (</w:t>
      </w:r>
      <w:r>
        <w:rPr>
          <w:lang w:val="pt_PT" w:bidi="pt_PT"/>
        </w:rPr>
        <w:t>Colossenses 3.16</w:t>
      </w:r>
      <w:r>
        <w:rPr>
          <w:lang w:val="pt_PT" w:bidi="pt_PT"/>
        </w:rPr>
        <w:t>).</w:t>
      </w:r>
    </w:p>
    <w:p>
      <w:pPr/>
      <w:r>
        <w:rPr>
          <w:lang w:val="pt_PT" w:bidi="pt_PT"/>
        </w:rPr>
      </w:r>
      <w:r>
        <w:rPr>
          <w:u w:val="single"/>
          <w:lang w:val="pt_PT" w:bidi="pt_PT"/>
        </w:rPr>
        <w:t>Passagens para estudo complementar</w:t>
      </w:r>
    </w:p>
    <w:p>
      <w:pPr/>
      <w:r>
        <w:rPr>
          <w:lang w:val="pt_PT" w:bidi="pt_PT"/>
        </w:rPr>
      </w:r>
      <w:r>
        <w:rPr>
          <w:lang w:val="pt_PT" w:bidi="pt_PT"/>
        </w:rPr>
        <w:t>Gênesis 26.5</w:t>
      </w:r>
      <w:r>
        <w:rPr>
          <w:lang w:val="pt_PT" w:bidi="pt_PT"/>
        </w:rPr>
        <w:t xml:space="preserve">; </w:t>
      </w:r>
      <w:r>
        <w:rPr>
          <w:lang w:val="pt_PT" w:bidi="pt_PT"/>
        </w:rPr>
        <w:t>Êxodo 16.4</w:t>
      </w:r>
      <w:r>
        <w:rPr>
          <w:lang w:val="pt_PT" w:bidi="pt_PT"/>
        </w:rPr>
        <w:t xml:space="preserve">; </w:t>
      </w:r>
      <w:r>
        <w:rPr>
          <w:lang w:val="pt_PT" w:bidi="pt_PT"/>
        </w:rPr>
        <w:t>Levítico 6.9</w:t>
      </w:r>
      <w:r>
        <w:rPr>
          <w:lang w:val="pt_PT" w:bidi="pt_PT"/>
        </w:rPr>
        <w:t>,</w:t>
      </w:r>
      <w:r>
        <w:rPr>
          <w:lang w:val="pt_PT" w:bidi="pt_PT"/>
        </w:rPr>
        <w:t>14</w:t>
      </w:r>
      <w:r>
        <w:rPr>
          <w:lang w:val="pt_PT" w:bidi="pt_PT"/>
        </w:rPr>
        <w:t xml:space="preserve">; </w:t>
      </w:r>
      <w:r>
        <w:rPr>
          <w:lang w:val="pt_PT" w:bidi="pt_PT"/>
        </w:rPr>
        <w:t>Deuteronômio 17.8–13</w:t>
      </w:r>
      <w:r>
        <w:rPr>
          <w:lang w:val="pt_PT" w:bidi="pt_PT"/>
        </w:rPr>
        <w:t>,</w:t>
      </w:r>
      <w:r>
        <w:rPr>
          <w:lang w:val="pt_PT" w:bidi="pt_PT"/>
        </w:rPr>
        <w:t>18–20</w:t>
      </w:r>
      <w:r>
        <w:rPr>
          <w:lang w:val="pt_PT" w:bidi="pt_PT"/>
        </w:rPr>
        <w:t xml:space="preserve">; </w:t>
      </w:r>
      <w:r>
        <w:rPr>
          <w:lang w:val="pt_PT" w:bidi="pt_PT"/>
        </w:rPr>
        <w:t>2 Reis 10.30–31</w:t>
      </w:r>
      <w:r>
        <w:rPr>
          <w:lang w:val="pt_PT" w:bidi="pt_PT"/>
        </w:rPr>
        <w:t xml:space="preserve">; </w:t>
      </w:r>
      <w:r>
        <w:rPr>
          <w:lang w:val="pt_PT" w:bidi="pt_PT"/>
        </w:rPr>
        <w:t>22.8–20</w:t>
      </w:r>
      <w:r>
        <w:rPr>
          <w:lang w:val="pt_PT" w:bidi="pt_PT"/>
        </w:rPr>
        <w:t xml:space="preserve">; </w:t>
      </w:r>
      <w:r>
        <w:rPr>
          <w:lang w:val="pt_PT" w:bidi="pt_PT"/>
        </w:rPr>
        <w:t>Jó 22.21–23</w:t>
      </w:r>
      <w:r>
        <w:rPr>
          <w:lang w:val="pt_PT" w:bidi="pt_PT"/>
        </w:rPr>
        <w:t xml:space="preserve">; </w:t>
      </w:r>
      <w:r>
        <w:rPr>
          <w:lang w:val="pt_PT" w:bidi="pt_PT"/>
        </w:rPr>
        <w:t>Salmos 40.8</w:t>
      </w:r>
      <w:r>
        <w:rPr>
          <w:lang w:val="pt_PT" w:bidi="pt_PT"/>
        </w:rPr>
        <w:t xml:space="preserve">; </w:t>
      </w:r>
      <w:r>
        <w:rPr>
          <w:lang w:val="pt_PT" w:bidi="pt_PT"/>
        </w:rPr>
        <w:t>78.9–12</w:t>
      </w:r>
      <w:r>
        <w:rPr>
          <w:lang w:val="pt_PT" w:bidi="pt_PT"/>
        </w:rPr>
        <w:t xml:space="preserve">; </w:t>
      </w:r>
      <w:r>
        <w:rPr>
          <w:lang w:val="pt_PT" w:bidi="pt_PT"/>
        </w:rPr>
        <w:t>Provérbios 6.20–23</w:t>
      </w:r>
      <w:r>
        <w:rPr>
          <w:lang w:val="pt_PT" w:bidi="pt_PT"/>
        </w:rPr>
        <w:t xml:space="preserve">; </w:t>
      </w:r>
      <w:r>
        <w:rPr>
          <w:lang w:val="pt_PT" w:bidi="pt_PT"/>
        </w:rPr>
        <w:t>13.14</w:t>
      </w:r>
      <w:r>
        <w:rPr>
          <w:lang w:val="pt_PT" w:bidi="pt_PT"/>
        </w:rPr>
        <w:t xml:space="preserve">; </w:t>
      </w:r>
      <w:r>
        <w:rPr>
          <w:lang w:val="pt_PT" w:bidi="pt_PT"/>
        </w:rPr>
        <w:t>28.9</w:t>
      </w:r>
      <w:r>
        <w:rPr>
          <w:lang w:val="pt_PT" w:bidi="pt_PT"/>
        </w:rPr>
        <w:t xml:space="preserve">; </w:t>
      </w:r>
      <w:r>
        <w:rPr>
          <w:lang w:val="pt_PT" w:bidi="pt_PT"/>
        </w:rPr>
        <w:t>Isaías 8.20</w:t>
      </w:r>
      <w:r>
        <w:rPr>
          <w:lang w:val="pt_PT" w:bidi="pt_PT"/>
        </w:rPr>
        <w:t xml:space="preserve">; </w:t>
      </w:r>
      <w:r>
        <w:rPr>
          <w:lang w:val="pt_PT" w:bidi="pt_PT"/>
        </w:rPr>
        <w:t>Colossenses 3.16</w:t>
      </w:r>
      <w:r>
        <w:rPr>
          <w:lang w:val="pt_PT" w:bidi="pt_PT"/>
        </w:rPr>
        <w:t xml:space="preserve">; </w:t>
      </w:r>
      <w:r>
        <w:rPr>
          <w:lang w:val="pt_PT" w:bidi="pt_PT"/>
        </w:rPr>
        <w:t>2 Timóteo 3.14–17</w:t>
      </w:r>
      <w:r>
        <w:rPr>
          <w:lang w:val="pt_PT" w:bidi="pt_PT"/>
        </w:rPr>
      </w:r>
      <w:r>
        <w:rPr>
          <w:lang w:val="pt_PT" w:bidi="pt_PT"/>
        </w:rPr>
      </w:r>
    </w:p>
    <w:p>
      <w:pPr/>
      <w:r>
        <w:rPr>
          <w:lang w:val="pt_PT" w:bidi="pt_PT"/>
        </w:rPr>
      </w:r>
    </w:p>
    <w:p>
      <w:pPr>
        <w:pStyle w:val="Heading2"/>
      </w:pPr>
      <w:r>
        <w:rPr>
          <w:lang w:val="pt_PT" w:bidi="pt_PT"/>
        </w:rPr>
        <w:t>Invasão</w:t>
      </w:r>
      <w:r>
        <w:rPr>
          <w:lang w:val="pt_PT" w:bidi="pt_PT"/>
        </w:rPr>
      </w:r>
    </w:p>
    <w:p>
      <w:pPr/>
      <w:r>
        <w:rPr>
          <w:lang w:val="pt_PT" w:bidi="pt_PT"/>
        </w:rPr>
      </w:r>
      <w:r>
        <w:rPr>
          <w:lang w:val="pt_PT" w:bidi="pt_PT"/>
        </w:rPr>
        <w:t>No mundo antigo, invasões estrangeiras eram comuns e causavam grandes dificuldades. Se os invasores tivessem sucesso, traziam destruição e sofrimento. Invasores vitoriosos matavam homens adultos, estupravam mulheres, escravizavam crianças, roubavam objetos de valor e destruíam todo o resto. A ameaça de invasão deixava as pessoas amedrontadas.</w:t>
      </w:r>
    </w:p>
    <w:p>
      <w:pPr/>
      <w:r>
        <w:rPr>
          <w:lang w:val="pt_PT" w:bidi="pt_PT"/>
        </w:rPr>
      </w:r>
      <w:r>
        <w:rPr>
          <w:lang w:val="pt_PT" w:bidi="pt_PT"/>
        </w:rPr>
        <w:t>Nas últimas décadas do reino, o povo de Judá e Jerusalém viveu sob a ameaça de conquista pela Babilônia. Mais de um século antes, os assírios haviam destruído o reino do norte de Israel, invadido Judá e atacado Jerusalém. Esses eventos permaneceram vivos na memória do povo de Judá. O profeta Jeremias alertou sobre outra invasão iminente e a destruição que ela causaria.</w:t>
      </w:r>
    </w:p>
    <w:p>
      <w:pPr/>
      <w:r>
        <w:rPr>
          <w:lang w:val="pt_PT" w:bidi="pt_PT"/>
        </w:rPr>
      </w:r>
      <w:r>
        <w:rPr>
          <w:lang w:val="pt_PT" w:bidi="pt_PT"/>
        </w:rPr>
        <w:t>Quando a invasão ameaçou, as pessoas queriam encontrar maneiras de evitar o sofrimento que estava por vir. Profetas como Jeremias exortaram o povo de Deus a abandonar os falsos deuses e obedecer ao Senhor. Eles aconselharam a não depender de aliados poderosos para o resgate. Em vez disso, incentivaram a buscar a proteção do Senhor.</w:t>
      </w:r>
    </w:p>
    <w:p>
      <w:pPr/>
      <w:r>
        <w:rPr>
          <w:lang w:val="pt_PT" w:bidi="pt_PT"/>
        </w:rPr>
      </w:r>
      <w:r>
        <w:rPr>
          <w:lang w:val="pt_PT" w:bidi="pt_PT"/>
        </w:rPr>
        <w:t>Os profetas às vezes descreviam em detalhes o que aconteceria durante uma invasão. O objetivo deles não era assustar ou desencorajar o povo de Deus. Deus os enviou para incentivar a obediência a Ele. Eles queriam que as pessoas confiassem no Senhor para a salvação e experimentassem seu resgate. Foi assim que o Rei Ezequias reagiu à invasão assíria um século antes. Ele confiou no Senhor, e o Senhor resgatou a ele e seu povo.</w:t>
      </w:r>
    </w:p>
    <w:p>
      <w:pPr/>
      <w:r>
        <w:rPr>
          <w:lang w:val="pt_PT" w:bidi="pt_PT"/>
        </w:rPr>
      </w:r>
      <w:r>
        <w:rPr>
          <w:u w:val="single"/>
          <w:lang w:val="pt_PT" w:bidi="pt_PT"/>
        </w:rPr>
        <w:t>Passagens para Estudo Complementar</w:t>
      </w:r>
    </w:p>
    <w:p>
      <w:pPr/>
      <w:r>
        <w:rPr>
          <w:lang w:val="pt_PT" w:bidi="pt_PT"/>
        </w:rPr>
      </w:r>
      <w:r>
        <w:rPr>
          <w:lang w:val="pt_PT" w:bidi="pt_PT"/>
        </w:rPr>
        <w:t>Gênesis 14.1–16</w:t>
      </w:r>
      <w:r>
        <w:rPr>
          <w:lang w:val="pt_PT" w:bidi="pt_PT"/>
        </w:rPr>
        <w:t xml:space="preserve">; </w:t>
      </w:r>
      <w:r>
        <w:rPr>
          <w:lang w:val="pt_PT" w:bidi="pt_PT"/>
        </w:rPr>
        <w:t>2 Reis 17.5–23</w:t>
      </w:r>
      <w:r>
        <w:rPr>
          <w:lang w:val="pt_PT" w:bidi="pt_PT"/>
        </w:rPr>
        <w:t xml:space="preserve">; </w:t>
      </w:r>
      <w:r>
        <w:rPr>
          <w:lang w:val="pt_PT" w:bidi="pt_PT"/>
        </w:rPr>
        <w:t>18.13–19.37</w:t>
      </w:r>
      <w:r>
        <w:rPr>
          <w:lang w:val="pt_PT" w:bidi="pt_PT"/>
        </w:rPr>
        <w:t xml:space="preserve">; </w:t>
      </w:r>
      <w:r>
        <w:rPr>
          <w:lang w:val="pt_PT" w:bidi="pt_PT"/>
        </w:rPr>
        <w:t>Isaías 6.8–13</w:t>
      </w:r>
      <w:r>
        <w:rPr>
          <w:lang w:val="pt_PT" w:bidi="pt_PT"/>
        </w:rPr>
        <w:t xml:space="preserve">; </w:t>
      </w:r>
      <w:r>
        <w:rPr>
          <w:lang w:val="pt_PT" w:bidi="pt_PT"/>
        </w:rPr>
        <w:t>36.1–37.38</w:t>
      </w:r>
      <w:r>
        <w:rPr>
          <w:lang w:val="pt_PT" w:bidi="pt_PT"/>
        </w:rPr>
        <w:t xml:space="preserve">; </w:t>
      </w:r>
      <w:r>
        <w:rPr>
          <w:lang w:val="pt_PT" w:bidi="pt_PT"/>
        </w:rPr>
        <w:t>65.21–23</w:t>
      </w:r>
      <w:r>
        <w:rPr>
          <w:lang w:val="pt_PT" w:bidi="pt_PT"/>
        </w:rPr>
        <w:t xml:space="preserve">; </w:t>
      </w:r>
      <w:r>
        <w:rPr>
          <w:lang w:val="pt_PT" w:bidi="pt_PT"/>
        </w:rPr>
        <w:t>Jeremias 6.22–26</w:t>
      </w:r>
      <w:r>
        <w:rPr>
          <w:lang w:val="pt_PT" w:bidi="pt_PT"/>
        </w:rPr>
        <w:t xml:space="preserve">; </w:t>
      </w:r>
      <w:r>
        <w:rPr>
          <w:lang w:val="pt_PT" w:bidi="pt_PT"/>
        </w:rPr>
        <w:t>19.7–15</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