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(Themes)</w:t>
      </w:r>
      <w:r>
        <w:rPr>
          <w:lang w:val="ru_RU" w:bidi="ru_RU"/>
        </w:rPr>
      </w:r>
    </w:p>
    <w:p>
      <w:pPr/>
      <w:r>
        <w:rPr>
          <w:lang w:val="ru_RU" w:bidi="ru_RU"/>
        </w:rPr>
      </w:r>
      <w:r>
        <w:rPr>
          <w:b/>
          <w:lang w:val="ru_RU" w:bidi="ru_RU"/>
        </w:rPr>
        <w:t>Aquifer Open Study Notes (Themes)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С</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Совместные трапезы</w:t>
      </w:r>
      <w:r>
        <w:rPr>
          <w:lang w:val="ru_RU" w:bidi="ru_RU"/>
        </w:rPr>
      </w:r>
    </w:p>
    <w:p>
      <w:pPr/>
      <w:r>
        <w:rPr>
          <w:lang w:val="ru_RU" w:bidi="ru_RU"/>
        </w:rPr>
      </w:r>
      <w:r>
        <w:rPr>
          <w:lang w:val="ru_RU" w:bidi="ru_RU"/>
        </w:rPr>
        <w:t>Как для фарисеев, так и для многих иудеев первого столетия, совместные трапезы воспринимались как ритуал. Благочестивые иудеи обычно придерживались множества правил, чтобы ритуально не оскверниться во время еды. Они поступали так скорее для того, чтобы показать свою приверженность Закону, а не для того, чтобы продемонстрировать своё превосходство над остальными.</w:t>
      </w:r>
    </w:p>
    <w:p>
      <w:pPr/>
      <w:r>
        <w:rPr>
          <w:lang w:val="ru_RU" w:bidi="ru_RU"/>
        </w:rPr>
      </w:r>
      <w:r>
        <w:rPr>
          <w:lang w:val="ru_RU" w:bidi="ru_RU"/>
        </w:rPr>
        <w:t xml:space="preserve">Большинство иудеев соблюдали определённые заповеди, связанные с принятием пищи. Так же поступал и Иисус. Тем не менее, Он нередко намеренно ел с людьми, которые считались ритуально нечистыми или с теми, кто не очень тщательно соблюдал закон. Совместное принятие пищи могло указывать на социальное равенство между людьми или на заветные взаимоотношения между ними (сравните </w:t>
      </w:r>
      <w:r>
        <w:rPr>
          <w:lang w:val="ru_RU" w:bidi="ru_RU"/>
        </w:rPr>
        <w:t>Мф.26:26–29</w:t>
      </w:r>
      <w:r>
        <w:rPr>
          <w:lang w:val="ru_RU" w:bidi="ru_RU"/>
        </w:rPr>
        <w:t xml:space="preserve">; </w:t>
      </w:r>
      <w:r>
        <w:rPr>
          <w:lang w:val="ru_RU" w:bidi="ru_RU"/>
        </w:rPr>
        <w:t>4Цар.25:27–30</w:t>
      </w:r>
      <w:r>
        <w:rPr>
          <w:lang w:val="ru_RU" w:bidi="ru_RU"/>
        </w:rPr>
        <w:t>). Фарисеи считали, что им следовало избегать совместных трапез с грешниками, чтобы не оскверняться. Их очень оскорбляло, когда они видели, что Иисус ел с грешниками (</w:t>
      </w:r>
      <w:r>
        <w:rPr>
          <w:lang w:val="ru_RU" w:bidi="ru_RU"/>
        </w:rPr>
        <w:t>Мф.9:10–11</w:t>
      </w:r>
      <w:r>
        <w:rPr>
          <w:lang w:val="ru_RU" w:bidi="ru_RU"/>
        </w:rPr>
        <w:t xml:space="preserve">; </w:t>
      </w:r>
      <w:r>
        <w:rPr>
          <w:lang w:val="ru_RU" w:bidi="ru_RU"/>
        </w:rPr>
        <w:t>11:19</w:t>
      </w:r>
      <w:r>
        <w:rPr>
          <w:lang w:val="ru_RU" w:bidi="ru_RU"/>
        </w:rPr>
        <w:t xml:space="preserve">; </w:t>
      </w:r>
      <w:r>
        <w:rPr>
          <w:lang w:val="ru_RU" w:bidi="ru_RU"/>
        </w:rPr>
        <w:t>21:28–32</w:t>
      </w:r>
      <w:r>
        <w:rPr>
          <w:lang w:val="ru_RU" w:bidi="ru_RU"/>
        </w:rPr>
        <w:t xml:space="preserve">; </w:t>
      </w:r>
      <w:r>
        <w:rPr>
          <w:lang w:val="ru_RU" w:bidi="ru_RU"/>
        </w:rPr>
        <w:t>Лк.7:36–50</w:t>
      </w:r>
      <w:r>
        <w:rPr>
          <w:lang w:val="ru_RU" w:bidi="ru_RU"/>
        </w:rPr>
        <w:t xml:space="preserve">; </w:t>
      </w:r>
      <w:r>
        <w:rPr>
          <w:lang w:val="ru_RU" w:bidi="ru_RU"/>
        </w:rPr>
        <w:t>15:1–2</w:t>
      </w:r>
      <w:r>
        <w:rPr>
          <w:lang w:val="ru_RU" w:bidi="ru_RU"/>
        </w:rPr>
        <w:t xml:space="preserve">; </w:t>
      </w:r>
      <w:r>
        <w:rPr>
          <w:lang w:val="ru_RU" w:bidi="ru_RU"/>
        </w:rPr>
        <w:t>19:1–10</w:t>
      </w:r>
      <w:r>
        <w:rPr>
          <w:lang w:val="ru_RU" w:bidi="ru_RU"/>
        </w:rPr>
        <w:t>).</w:t>
      </w:r>
    </w:p>
    <w:p>
      <w:pPr/>
      <w:r>
        <w:rPr>
          <w:lang w:val="ru_RU" w:bidi="ru_RU"/>
        </w:rPr>
      </w:r>
      <w:r>
        <w:rPr>
          <w:lang w:val="ru_RU" w:bidi="ru_RU"/>
        </w:rPr>
        <w:t>Иисус ел вместе с грешниками для того, чтобы показать им Божью благодать, Божью любовь и прощение. Он приглашал всех присоединиться к новой общине. Последний совместный ужин Иисуса (называемый «Тайной вечерей») показывает, что трапезы, которые Иисус разделял со Своими учениками, предвосхищали будущий пир в Небесном Царстве (</w:t>
      </w:r>
      <w:r>
        <w:rPr>
          <w:lang w:val="ru_RU" w:bidi="ru_RU"/>
        </w:rPr>
        <w:t>Мф.26:29</w:t>
      </w:r>
      <w:r>
        <w:rPr>
          <w:lang w:val="ru_RU" w:bidi="ru_RU"/>
        </w:rPr>
        <w:t xml:space="preserve">; см. </w:t>
      </w:r>
      <w:r>
        <w:rPr>
          <w:lang w:val="ru_RU" w:bidi="ru_RU"/>
        </w:rPr>
        <w:t>8:11–12</w:t>
      </w:r>
      <w:r>
        <w:rPr>
          <w:lang w:val="ru_RU" w:bidi="ru_RU"/>
        </w:rPr>
        <w:t>). В ранней церкви общие трапезы также играли важную роль. Эти трапезы стали частью общения между христианами и также возможностью принять участие в Вечере Господней (</w:t>
      </w:r>
      <w:r>
        <w:rPr>
          <w:lang w:val="ru_RU" w:bidi="ru_RU"/>
        </w:rPr>
        <w:t>Деян.2:46</w:t>
      </w:r>
      <w:r>
        <w:rPr>
          <w:lang w:val="ru_RU" w:bidi="ru_RU"/>
        </w:rPr>
        <w:t xml:space="preserve">; </w:t>
      </w:r>
      <w:r>
        <w:rPr>
          <w:lang w:val="ru_RU" w:bidi="ru_RU"/>
        </w:rPr>
        <w:t>1Кор.11:17–34</w:t>
      </w:r>
      <w:r>
        <w:rPr>
          <w:lang w:val="ru_RU" w:bidi="ru_RU"/>
        </w:rPr>
        <w:t>).</w:t>
      </w:r>
    </w:p>
    <w:p>
      <w:pPr/>
      <w:r>
        <w:rPr>
          <w:lang w:val="ru_RU" w:bidi="ru_RU"/>
        </w:rPr>
      </w:r>
      <w:r>
        <w:rPr>
          <w:lang w:val="ru_RU" w:bidi="ru_RU"/>
        </w:rPr>
        <w:t xml:space="preserve">Апостол Павел следовал примеру Иисуса и учил, что совместные трапезы между евреями и язычниками (не евреями) помогают установить добрые отношения (см. </w:t>
      </w:r>
      <w:r>
        <w:rPr>
          <w:lang w:val="ru_RU" w:bidi="ru_RU"/>
        </w:rPr>
        <w:t>Гал.2:11–21</w:t>
      </w:r>
      <w:r>
        <w:rPr>
          <w:lang w:val="ru_RU" w:bidi="ru_RU"/>
        </w:rPr>
        <w:t>). Иисус «упразднил вражду», существовавшую между евреями и язычниками (</w:t>
      </w:r>
      <w:r>
        <w:rPr>
          <w:lang w:val="ru_RU" w:bidi="ru_RU"/>
        </w:rPr>
        <w:t>Еф.2:14–18</w:t>
      </w:r>
      <w:r>
        <w:rPr>
          <w:lang w:val="ru_RU" w:bidi="ru_RU"/>
        </w:rPr>
        <w:t>). Он призывает нас к общению со всем Его народом.</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Бытие 18:1–8</w:t>
      </w:r>
      <w:r>
        <w:rPr>
          <w:lang w:val="ru_RU" w:bidi="ru_RU"/>
        </w:rPr>
        <w:t xml:space="preserve">; </w:t>
      </w:r>
      <w:r>
        <w:rPr>
          <w:lang w:val="ru_RU" w:bidi="ru_RU"/>
        </w:rPr>
        <w:t>Исход 24:9–11</w:t>
      </w:r>
      <w:r>
        <w:rPr>
          <w:lang w:val="ru_RU" w:bidi="ru_RU"/>
        </w:rPr>
        <w:t xml:space="preserve">; </w:t>
      </w:r>
      <w:r>
        <w:rPr>
          <w:lang w:val="ru_RU" w:bidi="ru_RU"/>
        </w:rPr>
        <w:t>4 Царств 25:27–30</w:t>
      </w:r>
      <w:r>
        <w:rPr>
          <w:lang w:val="ru_RU" w:bidi="ru_RU"/>
        </w:rPr>
        <w:t xml:space="preserve">; </w:t>
      </w:r>
      <w:r>
        <w:rPr>
          <w:lang w:val="ru_RU" w:bidi="ru_RU"/>
        </w:rPr>
        <w:t>От Матфея 8:11–12</w:t>
      </w:r>
      <w:r>
        <w:rPr>
          <w:lang w:val="ru_RU" w:bidi="ru_RU"/>
        </w:rPr>
        <w:t xml:space="preserve">; </w:t>
      </w:r>
      <w:r>
        <w:rPr>
          <w:lang w:val="ru_RU" w:bidi="ru_RU"/>
        </w:rPr>
        <w:t>9:10–13</w:t>
      </w:r>
      <w:r>
        <w:rPr>
          <w:lang w:val="ru_RU" w:bidi="ru_RU"/>
        </w:rPr>
        <w:t xml:space="preserve">; </w:t>
      </w:r>
      <w:r>
        <w:rPr>
          <w:lang w:val="ru_RU" w:bidi="ru_RU"/>
        </w:rPr>
        <w:t>11:19</w:t>
      </w:r>
      <w:r>
        <w:rPr>
          <w:lang w:val="ru_RU" w:bidi="ru_RU"/>
        </w:rPr>
        <w:t xml:space="preserve">; </w:t>
      </w:r>
      <w:r>
        <w:rPr>
          <w:lang w:val="ru_RU" w:bidi="ru_RU"/>
        </w:rPr>
        <w:t>26:26–29</w:t>
      </w:r>
      <w:r>
        <w:rPr>
          <w:lang w:val="ru_RU" w:bidi="ru_RU"/>
        </w:rPr>
        <w:t xml:space="preserve">; </w:t>
      </w:r>
      <w:r>
        <w:rPr>
          <w:lang w:val="ru_RU" w:bidi="ru_RU"/>
        </w:rPr>
        <w:t>От Луки 7:36–50</w:t>
      </w:r>
      <w:r>
        <w:rPr>
          <w:lang w:val="ru_RU" w:bidi="ru_RU"/>
        </w:rPr>
        <w:t xml:space="preserve">; </w:t>
      </w:r>
      <w:r>
        <w:rPr>
          <w:lang w:val="ru_RU" w:bidi="ru_RU"/>
        </w:rPr>
        <w:t>15:1–2</w:t>
      </w:r>
      <w:r>
        <w:rPr>
          <w:lang w:val="ru_RU" w:bidi="ru_RU"/>
        </w:rPr>
        <w:t xml:space="preserve">; </w:t>
      </w:r>
      <w:r>
        <w:rPr>
          <w:lang w:val="ru_RU" w:bidi="ru_RU"/>
        </w:rPr>
        <w:t>19:1–10</w:t>
      </w:r>
      <w:r>
        <w:rPr>
          <w:lang w:val="ru_RU" w:bidi="ru_RU"/>
        </w:rPr>
        <w:t xml:space="preserve">; </w:t>
      </w:r>
      <w:r>
        <w:rPr>
          <w:lang w:val="ru_RU" w:bidi="ru_RU"/>
        </w:rPr>
        <w:t>22:14–21</w:t>
      </w:r>
      <w:r>
        <w:rPr>
          <w:lang w:val="ru_RU" w:bidi="ru_RU"/>
        </w:rPr>
        <w:t xml:space="preserve">; </w:t>
      </w:r>
      <w:r>
        <w:rPr>
          <w:lang w:val="ru_RU" w:bidi="ru_RU"/>
        </w:rPr>
        <w:t>Деяния апостолов 2:46–47</w:t>
      </w:r>
      <w:r>
        <w:rPr>
          <w:lang w:val="ru_RU" w:bidi="ru_RU"/>
        </w:rPr>
        <w:t xml:space="preserve">; </w:t>
      </w:r>
      <w:r>
        <w:rPr>
          <w:lang w:val="ru_RU" w:bidi="ru_RU"/>
        </w:rPr>
        <w:t>1 Коринфянам 11:20–34</w:t>
      </w:r>
      <w:r>
        <w:rPr>
          <w:lang w:val="ru_RU" w:bidi="ru_RU"/>
        </w:rPr>
        <w:t xml:space="preserve">; </w:t>
      </w:r>
      <w:r>
        <w:rPr>
          <w:lang w:val="ru_RU" w:bidi="ru_RU"/>
        </w:rPr>
        <w:t>Галатам 2:11–16</w:t>
      </w:r>
      <w:r>
        <w:rPr>
          <w:lang w:val="ru_RU" w:bidi="ru_RU"/>
        </w:rPr>
        <w:t xml:space="preserve">; </w:t>
      </w:r>
      <w:r>
        <w:rPr>
          <w:lang w:val="ru_RU" w:bidi="ru_RU"/>
        </w:rPr>
        <w:t>Ефесянам 2:14–18</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