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發怨言</w:t>
      </w:r>
      <w:r>
        <w:rPr>
          <w:lang w:val="zh_TW" w:bidi="zh_TW"/>
        </w:rPr>
      </w:r>
    </w:p>
    <w:p>
      <w:pPr/>
      <w:r>
        <w:rPr>
          <w:lang w:val="zh_TW" w:bidi="zh_TW"/>
        </w:rPr>
      </w:r>
      <w:r>
        <w:rPr>
          <w:lang w:val="zh_TW" w:bidi="zh_TW"/>
        </w:rPr>
        <w:t>聖經教導我們，發怨言往往是錯誤的行為。例如，以色列人在曠野中因困難而發怨言，神因此施行審判（</w:t>
      </w:r>
      <w:r>
        <w:rPr>
          <w:lang w:val="zh_TW" w:bidi="zh_TW"/>
        </w:rPr>
        <w:t>民14:27–37</w:t>
      </w:r>
      <w:r>
        <w:rPr>
          <w:lang w:val="zh_TW" w:bidi="zh_TW"/>
        </w:rPr>
        <w:t>）。雖然約伯常常發怨言，也受到神的責備，但神仍肯定他為義人，並且責備那些企圖使他閉口的朋友（</w:t>
      </w:r>
      <w:r>
        <w:rPr>
          <w:lang w:val="zh_TW" w:bidi="zh_TW"/>
        </w:rPr>
        <w:t>約42:7–8</w:t>
      </w:r>
      <w:r>
        <w:rPr>
          <w:lang w:val="zh_TW" w:bidi="zh_TW"/>
        </w:rPr>
        <w:t>）。</w:t>
      </w:r>
    </w:p>
    <w:p>
      <w:pPr/>
      <w:r>
        <w:rPr>
          <w:lang w:val="zh_TW" w:bidi="zh_TW"/>
        </w:rPr>
      </w:r>
      <w:r>
        <w:rPr>
          <w:lang w:val="zh_TW" w:bidi="zh_TW"/>
        </w:rPr>
        <w:t>約伯發怨言，主要是指神沒有給他公平的機會來證明自己的清白。約伯的朋友批評他為自己辯護，但神卻支持約伯的無辜。神以慈愛卻堅定的方式向他顯現，糾正他那過度自我辯解，幾乎指責神不公的態度，並引導約伯將注意力從自身的苦難轉回到神的身上 （</w:t>
      </w:r>
      <w:r>
        <w:rPr>
          <w:lang w:val="zh_TW" w:bidi="zh_TW"/>
        </w:rPr>
        <w:t>伯38–41章</w:t>
      </w:r>
      <w:r>
        <w:rPr>
          <w:lang w:val="zh_TW" w:bidi="zh_TW"/>
        </w:rPr>
        <w:t>）。</w:t>
      </w:r>
    </w:p>
    <w:p>
      <w:pPr/>
      <w:r>
        <w:rPr>
          <w:lang w:val="zh_TW" w:bidi="zh_TW"/>
        </w:rPr>
      </w:r>
      <w:r>
        <w:rPr>
          <w:lang w:val="zh_TW" w:bidi="zh_TW"/>
        </w:rPr>
        <w:t>聖經吩咐我們在一切事上要喜樂、凡事感恩（</w:t>
      </w:r>
      <w:r>
        <w:rPr>
          <w:lang w:val="zh_TW" w:bidi="zh_TW"/>
        </w:rPr>
        <w:t>弗5:20</w:t>
      </w:r>
      <w:r>
        <w:rPr>
          <w:lang w:val="zh_TW" w:bidi="zh_TW"/>
        </w:rPr>
        <w:t>；</w:t>
      </w:r>
      <w:r>
        <w:rPr>
          <w:lang w:val="zh_TW" w:bidi="zh_TW"/>
        </w:rPr>
        <w:t>腓4:4</w:t>
      </w:r>
      <w:r>
        <w:rPr>
          <w:lang w:val="zh_TW" w:bidi="zh_TW"/>
        </w:rPr>
        <w:t>；</w:t>
      </w:r>
      <w:r>
        <w:rPr>
          <w:lang w:val="zh_TW" w:bidi="zh_TW"/>
        </w:rPr>
        <w:t>帖前5:16–18</w:t>
      </w:r>
      <w:r>
        <w:rPr>
          <w:lang w:val="zh_TW" w:bidi="zh_TW"/>
        </w:rPr>
        <w:t>），也勉勵我們在苦難中忍耐，恆切禱告（</w:t>
      </w:r>
      <w:r>
        <w:rPr>
          <w:lang w:val="zh_TW" w:bidi="zh_TW"/>
        </w:rPr>
        <w:t>雅5:10–18</w:t>
      </w:r>
      <w:r>
        <w:rPr>
          <w:lang w:val="zh_TW" w:bidi="zh_TW"/>
        </w:rPr>
        <w:t>）。若我們在禱告中感到有抱怨的需要，應效法詩篇的範例，它引導我們重新轉向神（例如，見</w:t>
      </w:r>
      <w:r>
        <w:rPr>
          <w:lang w:val="zh_TW" w:bidi="zh_TW"/>
        </w:rPr>
        <w:t>詩13篇</w:t>
      </w:r>
      <w:r>
        <w:rPr>
          <w:lang w:val="zh_TW" w:bidi="zh_TW"/>
        </w:rPr>
        <w:t>）。約伯的正面榜樣，不在於他如何回應苦難或朋友，而是在於他如何回應神（</w:t>
      </w:r>
      <w:r>
        <w:rPr>
          <w:lang w:val="zh_TW" w:bidi="zh_TW"/>
        </w:rPr>
        <w:t>雅5:11</w:t>
      </w:r>
      <w:r>
        <w:rPr>
          <w:lang w:val="zh_TW" w:bidi="zh_TW"/>
        </w:rPr>
        <w:t>；</w:t>
      </w:r>
      <w:r>
        <w:rPr>
          <w:lang w:val="zh_TW" w:bidi="zh_TW"/>
        </w:rPr>
        <w:t>伯40:3–5，</w:t>
      </w:r>
      <w:r>
        <w:rPr>
          <w:lang w:val="zh_TW" w:bidi="zh_TW"/>
        </w:rPr>
        <w:t>42:1–6</w:t>
      </w:r>
      <w:r>
        <w:rPr>
          <w:lang w:val="zh_TW" w:bidi="zh_TW"/>
        </w:rPr>
        <w:t>）。即使身處困苦與迷惘之中，我們仍能承認神的主權與良善。</w:t>
      </w:r>
    </w:p>
    <w:p>
      <w:pPr/>
      <w:r>
        <w:rPr>
          <w:lang w:val="zh_TW" w:bidi="zh_TW"/>
        </w:rPr>
      </w:r>
      <w:r>
        <w:rPr>
          <w:u w:val="single"/>
          <w:lang w:val="zh_TW" w:bidi="zh_TW"/>
        </w:rPr>
        <w:t>進深研究的經文段落</w:t>
      </w:r>
    </w:p>
    <w:p>
      <w:pPr/>
      <w:r>
        <w:rPr>
          <w:lang w:val="zh_TW" w:bidi="zh_TW"/>
        </w:rPr>
      </w:r>
      <w:r>
        <w:rPr>
          <w:lang w:val="zh_TW" w:bidi="zh_TW"/>
        </w:rPr>
        <w:t>創4:13–14；</w:t>
      </w:r>
      <w:r>
        <w:rPr>
          <w:lang w:val="zh_TW" w:bidi="zh_TW"/>
        </w:rPr>
        <w:t>出16:2–18；</w:t>
      </w:r>
      <w:r>
        <w:rPr>
          <w:lang w:val="zh_TW" w:bidi="zh_TW"/>
        </w:rPr>
        <w:t>民14:27–37；</w:t>
      </w:r>
      <w:r>
        <w:rPr>
          <w:lang w:val="zh_TW" w:bidi="zh_TW"/>
        </w:rPr>
        <w:t>王上19:3–18；</w:t>
      </w:r>
      <w:r>
        <w:rPr>
          <w:lang w:val="zh_TW" w:bidi="zh_TW"/>
        </w:rPr>
        <w:t>伯3:1–26</w:t>
      </w:r>
      <w:r>
        <w:rPr>
          <w:lang w:val="zh_TW" w:bidi="zh_TW"/>
        </w:rPr>
        <w:t>，</w:t>
      </w:r>
      <w:r>
        <w:rPr>
          <w:lang w:val="zh_TW" w:bidi="zh_TW"/>
        </w:rPr>
        <w:t>伯6:1–7:21；</w:t>
      </w:r>
      <w:r>
        <w:rPr>
          <w:lang w:val="zh_TW" w:bidi="zh_TW"/>
        </w:rPr>
        <w:t>詩38篇</w:t>
      </w:r>
      <w:r>
        <w:rPr>
          <w:lang w:val="zh_TW" w:bidi="zh_TW"/>
        </w:rPr>
        <w:t>，</w:t>
      </w:r>
      <w:r>
        <w:rPr>
          <w:lang w:val="zh_TW" w:bidi="zh_TW"/>
        </w:rPr>
        <w:t>詩39篇</w:t>
      </w:r>
      <w:r>
        <w:rPr>
          <w:lang w:val="zh_TW" w:bidi="zh_TW"/>
        </w:rPr>
        <w:t>，</w:t>
      </w:r>
      <w:r>
        <w:rPr>
          <w:lang w:val="zh_TW" w:bidi="zh_TW"/>
        </w:rPr>
        <w:t>詩44篇</w:t>
      </w:r>
      <w:r>
        <w:rPr>
          <w:lang w:val="zh_TW" w:bidi="zh_TW"/>
        </w:rPr>
        <w:t>，</w:t>
      </w:r>
      <w:r>
        <w:rPr>
          <w:lang w:val="zh_TW" w:bidi="zh_TW"/>
        </w:rPr>
        <w:t>詩73篇；</w:t>
      </w:r>
      <w:r>
        <w:rPr>
          <w:lang w:val="zh_TW" w:bidi="zh_TW"/>
        </w:rPr>
        <w:t>耶20:14–18；</w:t>
      </w:r>
      <w:r>
        <w:rPr>
          <w:lang w:val="zh_TW" w:bidi="zh_TW"/>
        </w:rPr>
        <w:t>拿4:1–11；</w:t>
      </w:r>
      <w:r>
        <w:rPr>
          <w:lang w:val="zh_TW" w:bidi="zh_TW"/>
        </w:rPr>
        <w:t>太27:46；</w:t>
      </w:r>
      <w:r>
        <w:rPr>
          <w:lang w:val="zh_TW" w:bidi="zh_TW"/>
        </w:rPr>
        <w:t>約6:41–59；</w:t>
      </w:r>
      <w:r>
        <w:rPr>
          <w:lang w:val="zh_TW" w:bidi="zh_TW"/>
        </w:rPr>
        <w:t>林前10:1–10；</w:t>
      </w:r>
      <w:r>
        <w:rPr>
          <w:lang w:val="zh_TW" w:bidi="zh_TW"/>
        </w:rPr>
        <w:t>弗5:20；</w:t>
      </w:r>
      <w:r>
        <w:rPr>
          <w:lang w:val="zh_TW" w:bidi="zh_TW"/>
        </w:rPr>
        <w:t>腓2:14–15；</w:t>
      </w:r>
      <w:r>
        <w:rPr>
          <w:lang w:val="zh_TW" w:bidi="zh_TW"/>
        </w:rPr>
        <w:t>雅5:9–11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