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關心窮人</w:t>
      </w:r>
      <w:r>
        <w:rPr>
          <w:lang w:val="zh_TW" w:bidi="zh_TW"/>
        </w:rPr>
      </w:r>
    </w:p>
    <w:p>
      <w:pPr/>
      <w:r>
        <w:rPr>
          <w:lang w:val="zh_TW" w:bidi="zh_TW"/>
        </w:rPr>
      </w:r>
      <w:r>
        <w:rPr>
          <w:lang w:val="zh_TW" w:bidi="zh_TW"/>
        </w:rPr>
        <w:t>神吩咐以色列人要關心其百姓的福祉。以色列人與神所立的約（特殊的協定），以及他們將自身視為一個大家庭的觀念，有助於防止特權意識的產生。既然是一個家庭，就應當扶持有需要的成員，其中包括寡婦、孤兒、貧窮人和寄居的外人（</w:t>
      </w:r>
      <w:r>
        <w:rPr>
          <w:lang w:val="zh_TW" w:bidi="zh_TW"/>
        </w:rPr>
        <w:t>出22:22</w:t>
      </w:r>
      <w:r>
        <w:rPr>
          <w:lang w:val="zh_TW" w:bidi="zh_TW"/>
        </w:rPr>
        <w:t>；</w:t>
      </w:r>
      <w:r>
        <w:rPr>
          <w:lang w:val="zh_TW" w:bidi="zh_TW"/>
        </w:rPr>
        <w:t>利19:10</w:t>
      </w:r>
      <w:r>
        <w:rPr>
          <w:lang w:val="zh_TW" w:bidi="zh_TW"/>
        </w:rPr>
        <w:t>）。</w:t>
      </w:r>
    </w:p>
    <w:p>
      <w:pPr/>
      <w:r>
        <w:rPr>
          <w:lang w:val="zh_TW" w:bidi="zh_TW"/>
        </w:rPr>
      </w:r>
      <w:r>
        <w:rPr>
          <w:lang w:val="zh_TW" w:bidi="zh_TW"/>
        </w:rPr>
        <w:t>農夫必須將田地的邊緣和收割後剩下的莊稼留給有需要的人（見</w:t>
      </w:r>
      <w:r>
        <w:rPr>
          <w:lang w:val="zh_TW" w:bidi="zh_TW"/>
        </w:rPr>
        <w:t>利23:22</w:t>
      </w:r>
      <w:r>
        <w:rPr>
          <w:lang w:val="zh_TW" w:bidi="zh_TW"/>
        </w:rPr>
        <w:t>）。貧窮人不應被剝削，反之，百姓應該提供無息貸款給他們，或讓債務人以受僱者的身分，有尊嚴地工作以償還債務（</w:t>
      </w:r>
      <w:r>
        <w:rPr>
          <w:lang w:val="zh_TW" w:bidi="zh_TW"/>
        </w:rPr>
        <w:t>利25:35–42</w:t>
      </w:r>
      <w:r>
        <w:rPr>
          <w:lang w:val="zh_TW" w:bidi="zh_TW"/>
        </w:rPr>
        <w:t>）。這些安排確保窮人有糧可食。</w:t>
      </w:r>
    </w:p>
    <w:p>
      <w:pPr/>
      <w:r>
        <w:rPr>
          <w:lang w:val="zh_TW" w:bidi="zh_TW"/>
        </w:rPr>
      </w:r>
      <w:r>
        <w:rPr>
          <w:lang w:val="zh_TW" w:bidi="zh_TW"/>
        </w:rPr>
        <w:t>聖經首次表現出對窮人的關懷，是在獻祭制度上體貼那些無力奉獻昂貴祭物的人。百姓若買不起羊羔，可以用鳥來代替燔祭和贖罪祭（</w:t>
      </w:r>
      <w:r>
        <w:rPr>
          <w:lang w:val="zh_TW" w:bidi="zh_TW"/>
        </w:rPr>
        <w:t>利1:14–17，</w:t>
      </w:r>
      <w:r>
        <w:rPr>
          <w:lang w:val="zh_TW" w:bidi="zh_TW"/>
        </w:rPr>
        <w:t>5:7–10</w:t>
      </w:r>
      <w:r>
        <w:rPr>
          <w:lang w:val="zh_TW" w:bidi="zh_TW"/>
        </w:rPr>
        <w:t>）。潔淨禮中也做了其他調整，以因應不同情況（</w:t>
      </w:r>
      <w:r>
        <w:rPr>
          <w:lang w:val="zh_TW" w:bidi="zh_TW"/>
        </w:rPr>
        <w:t>14:21–22</w:t>
      </w:r>
      <w:r>
        <w:rPr>
          <w:lang w:val="zh_TW" w:bidi="zh_TW"/>
        </w:rPr>
        <w:t>）。其中最顯著的改變，是允許用細麵代替贖罪祭的牲畜（</w:t>
      </w:r>
      <w:r>
        <w:rPr>
          <w:lang w:val="zh_TW" w:bidi="zh_TW"/>
        </w:rPr>
        <w:t>5:11–13</w:t>
      </w:r>
      <w:r>
        <w:rPr>
          <w:lang w:val="zh_TW" w:bidi="zh_TW"/>
        </w:rPr>
        <w:t>），這表示該祭不再象徵以命償命。這樣做是為了體恤那些買不起牲畜的人。這清楚地表明神渴望即使是無力獻上羔羊的貧窮人，也能經歷罪得赦免。</w:t>
      </w:r>
    </w:p>
    <w:p>
      <w:pPr/>
      <w:r>
        <w:rPr>
          <w:lang w:val="zh_TW" w:bidi="zh_TW"/>
        </w:rPr>
      </w:r>
      <w:r>
        <w:rPr>
          <w:lang w:val="zh_TW" w:bidi="zh_TW"/>
        </w:rPr>
        <w:t>這個主題在先知們對貧困與無助之人的關注中持續發展。他們呼籲實踐社會公義與憐憫（例如，</w:t>
      </w:r>
      <w:r>
        <w:rPr>
          <w:lang w:val="zh_TW" w:bidi="zh_TW"/>
        </w:rPr>
        <w:t>賽1:17</w:t>
      </w:r>
      <w:r>
        <w:rPr>
          <w:lang w:val="zh_TW" w:bidi="zh_TW"/>
        </w:rPr>
        <w:t>；</w:t>
      </w:r>
      <w:r>
        <w:rPr>
          <w:lang w:val="zh_TW" w:bidi="zh_TW"/>
        </w:rPr>
        <w:t>摩2:6</w:t>
      </w:r>
      <w:r>
        <w:rPr>
          <w:lang w:val="zh_TW" w:bidi="zh_TW"/>
        </w:rPr>
        <w:t>）。先知強烈譴責那些欺壓窮人的人（例如，</w:t>
      </w:r>
      <w:r>
        <w:rPr>
          <w:lang w:val="zh_TW" w:bidi="zh_TW"/>
        </w:rPr>
        <w:t>摩4:1–3</w:t>
      </w:r>
      <w:r>
        <w:rPr>
          <w:lang w:val="zh_TW" w:bidi="zh_TW"/>
        </w:rPr>
        <w:t>；</w:t>
      </w:r>
      <w:r>
        <w:rPr>
          <w:lang w:val="zh_TW" w:bidi="zh_TW"/>
        </w:rPr>
        <w:t>摩8:4–8</w:t>
      </w:r>
      <w:r>
        <w:rPr>
          <w:lang w:val="zh_TW" w:bidi="zh_TW"/>
        </w:rPr>
        <w:t>）。若百姓一方面行不義、施壓迫，另一方面卻獻上繁複的敬拜，神也不會悅納（見</w:t>
      </w:r>
      <w:r>
        <w:rPr>
          <w:lang w:val="zh_TW" w:bidi="zh_TW"/>
        </w:rPr>
        <w:t>賽1:15–20</w:t>
      </w:r>
      <w:r>
        <w:rPr>
          <w:lang w:val="zh_TW" w:bidi="zh_TW"/>
        </w:rPr>
        <w:t>；</w:t>
      </w:r>
      <w:r>
        <w:rPr>
          <w:lang w:val="zh_TW" w:bidi="zh_TW"/>
        </w:rPr>
        <w:t>彌6:6–8</w:t>
      </w:r>
      <w:r>
        <w:rPr>
          <w:lang w:val="zh_TW" w:bidi="zh_TW"/>
        </w:rPr>
        <w:t>）。</w:t>
      </w:r>
    </w:p>
    <w:p>
      <w:pPr/>
      <w:r>
        <w:rPr>
          <w:lang w:val="zh_TW" w:bidi="zh_TW"/>
        </w:rPr>
      </w:r>
      <w:r>
        <w:rPr>
          <w:lang w:val="zh_TW" w:bidi="zh_TW"/>
        </w:rPr>
        <w:t>對神與對人的正確態度和行為，比一切敬拜禮儀都更為重要。這樣的觀念也出現在福音書中那位窮寡婦奉獻的記載裡。耶穌稱讚她的奉獻，並不是因為金額，而是因為她所表現出的甘心奉獻（</w:t>
      </w:r>
      <w:r>
        <w:rPr>
          <w:lang w:val="zh_TW" w:bidi="zh_TW"/>
        </w:rPr>
        <w:t>可12:41–44</w:t>
      </w:r>
      <w:r>
        <w:rPr>
          <w:lang w:val="zh_TW" w:bidi="zh_TW"/>
        </w:rPr>
        <w:t>）。有時，宗教儀式本身反而妨礙他人真正的需要（見</w:t>
      </w:r>
      <w:r>
        <w:rPr>
          <w:lang w:val="zh_TW" w:bidi="zh_TW"/>
        </w:rPr>
        <w:t>可7:9–13</w:t>
      </w:r>
      <w:r>
        <w:rPr>
          <w:lang w:val="zh_TW" w:bidi="zh_TW"/>
        </w:rPr>
        <w:t>）。</w:t>
      </w:r>
    </w:p>
    <w:p>
      <w:pPr/>
      <w:r>
        <w:rPr>
          <w:lang w:val="zh_TW" w:bidi="zh_TW"/>
        </w:rPr>
      </w:r>
      <w:r>
        <w:rPr>
          <w:lang w:val="zh_TW" w:bidi="zh_TW"/>
        </w:rPr>
        <w:t>耶穌與初代教會同樣關心貧窮人。耶穌說祂的使命包括向貧窮人傳福音，使受壓制的人得自由（</w:t>
      </w:r>
      <w:r>
        <w:rPr>
          <w:lang w:val="zh_TW" w:bidi="zh_TW"/>
        </w:rPr>
        <w:t>路4:16–21</w:t>
      </w:r>
      <w:r>
        <w:rPr>
          <w:lang w:val="zh_TW" w:bidi="zh_TW"/>
        </w:rPr>
        <w:t>）。祂警告人不可忽視貧窮人（</w:t>
      </w:r>
      <w:r>
        <w:rPr>
          <w:lang w:val="zh_TW" w:bidi="zh_TW"/>
        </w:rPr>
        <w:t>路16:19–31</w:t>
      </w:r>
      <w:r>
        <w:rPr>
          <w:lang w:val="zh_TW" w:bidi="zh_TW"/>
        </w:rPr>
        <w:t>），並指出跟隨祂的人需要幫助貧窮人（</w:t>
      </w:r>
      <w:r>
        <w:rPr>
          <w:lang w:val="zh_TW" w:bidi="zh_TW"/>
        </w:rPr>
        <w:t>路18:18–23</w:t>
      </w:r>
      <w:r>
        <w:rPr>
          <w:lang w:val="zh_TW" w:bidi="zh_TW"/>
        </w:rPr>
        <w:t>）。早期教會遵行基督的教導，積極照顧有需要的人（</w:t>
      </w:r>
      <w:r>
        <w:rPr>
          <w:lang w:val="zh_TW" w:bidi="zh_TW"/>
        </w:rPr>
        <w:t>徒2:44–45</w:t>
      </w:r>
      <w:r>
        <w:rPr>
          <w:lang w:val="zh_TW" w:bidi="zh_TW"/>
        </w:rPr>
        <w:t>；</w:t>
      </w:r>
      <w:r>
        <w:rPr>
          <w:lang w:val="zh_TW" w:bidi="zh_TW"/>
        </w:rPr>
        <w:t>徒4:32–37</w:t>
      </w:r>
      <w:r>
        <w:rPr>
          <w:lang w:val="zh_TW" w:bidi="zh_TW"/>
        </w:rPr>
        <w:t>；</w:t>
      </w:r>
      <w:r>
        <w:rPr>
          <w:lang w:val="zh_TW" w:bidi="zh_TW"/>
        </w:rPr>
        <w:t>提前5:3–16</w:t>
      </w:r>
      <w:r>
        <w:rPr>
          <w:lang w:val="zh_TW" w:bidi="zh_TW"/>
        </w:rPr>
        <w:t>）。正如先知所強調的，他們也認為若輕看卑微人，就使宗教儀式失去意義（</w:t>
      </w:r>
      <w:r>
        <w:rPr>
          <w:lang w:val="zh_TW" w:bidi="zh_TW"/>
        </w:rPr>
        <w:t>林前11:17–29</w:t>
      </w:r>
      <w:r>
        <w:rPr>
          <w:lang w:val="zh_TW" w:bidi="zh_TW"/>
        </w:rPr>
        <w:t>；</w:t>
      </w:r>
      <w:r>
        <w:rPr>
          <w:lang w:val="zh_TW" w:bidi="zh_TW"/>
        </w:rPr>
        <w:t>雅1:27–2:17</w:t>
      </w:r>
      <w:r>
        <w:rPr>
          <w:lang w:val="zh_TW" w:bidi="zh_TW"/>
        </w:rPr>
        <w:t>）。</w:t>
      </w:r>
    </w:p>
    <w:p>
      <w:pPr/>
      <w:r>
        <w:rPr>
          <w:lang w:val="zh_TW" w:bidi="zh_TW"/>
        </w:rPr>
      </w:r>
      <w:r>
        <w:rPr>
          <w:lang w:val="zh_TW" w:bidi="zh_TW"/>
        </w:rPr>
        <w:t>神關愛貧窮人，這是貫穿整本聖經的重要主題。基督徒應以同樣的態度對待有需要的人。</w:t>
      </w:r>
    </w:p>
    <w:p>
      <w:pPr/>
      <w:r>
        <w:rPr>
          <w:lang w:val="zh_TW" w:bidi="zh_TW"/>
        </w:rPr>
      </w:r>
      <w:r>
        <w:rPr>
          <w:u w:val="single"/>
          <w:lang w:val="zh_TW" w:bidi="zh_TW"/>
        </w:rPr>
        <w:t>進深研究的經文段落</w:t>
      </w:r>
    </w:p>
    <w:p>
      <w:pPr/>
      <w:r>
        <w:rPr>
          <w:lang w:val="zh_TW" w:bidi="zh_TW"/>
        </w:rPr>
      </w:r>
      <w:r>
        <w:rPr>
          <w:lang w:val="zh_TW" w:bidi="zh_TW"/>
        </w:rPr>
        <w:t>出22:22–27</w:t>
      </w:r>
      <w:r>
        <w:rPr>
          <w:lang w:val="zh_TW" w:bidi="zh_TW"/>
        </w:rPr>
        <w:t>，</w:t>
      </w:r>
      <w:r>
        <w:rPr>
          <w:lang w:val="zh_TW" w:bidi="zh_TW"/>
        </w:rPr>
        <w:t>23:6–11；</w:t>
      </w:r>
      <w:r>
        <w:rPr>
          <w:lang w:val="zh_TW" w:bidi="zh_TW"/>
        </w:rPr>
        <w:t>利5:7</w:t>
      </w:r>
      <w:r>
        <w:rPr>
          <w:lang w:val="zh_TW" w:bidi="zh_TW"/>
        </w:rPr>
        <w:t>、</w:t>
      </w:r>
      <w:r>
        <w:rPr>
          <w:lang w:val="zh_TW" w:bidi="zh_TW"/>
        </w:rPr>
        <w:t>11</w:t>
      </w:r>
      <w:r>
        <w:rPr>
          <w:lang w:val="zh_TW" w:bidi="zh_TW"/>
        </w:rPr>
        <w:t>，</w:t>
      </w:r>
      <w:r>
        <w:rPr>
          <w:lang w:val="zh_TW" w:bidi="zh_TW"/>
        </w:rPr>
        <w:t>14:21–22</w:t>
      </w:r>
      <w:r>
        <w:rPr>
          <w:lang w:val="zh_TW" w:bidi="zh_TW"/>
        </w:rPr>
        <w:t>，</w:t>
      </w:r>
      <w:r>
        <w:rPr>
          <w:lang w:val="zh_TW" w:bidi="zh_TW"/>
        </w:rPr>
        <w:t>19:9–10</w:t>
      </w:r>
      <w:r>
        <w:rPr>
          <w:lang w:val="zh_TW" w:bidi="zh_TW"/>
        </w:rPr>
        <w:t>，</w:t>
      </w:r>
      <w:r>
        <w:rPr>
          <w:lang w:val="zh_TW" w:bidi="zh_TW"/>
        </w:rPr>
        <w:t>23:22；</w:t>
      </w:r>
      <w:r>
        <w:rPr>
          <w:lang w:val="zh_TW" w:bidi="zh_TW"/>
        </w:rPr>
        <w:t>申10:17–19</w:t>
      </w:r>
      <w:r>
        <w:rPr>
          <w:lang w:val="zh_TW" w:bidi="zh_TW"/>
        </w:rPr>
        <w:t>，</w:t>
      </w:r>
      <w:r>
        <w:rPr>
          <w:lang w:val="zh_TW" w:bidi="zh_TW"/>
        </w:rPr>
        <w:t>15:4–11</w:t>
      </w:r>
      <w:r>
        <w:rPr>
          <w:lang w:val="zh_TW" w:bidi="zh_TW"/>
        </w:rPr>
        <w:t>，</w:t>
      </w:r>
      <w:r>
        <w:rPr>
          <w:lang w:val="zh_TW" w:bidi="zh_TW"/>
        </w:rPr>
        <w:t>16:9–12</w:t>
      </w:r>
      <w:r>
        <w:rPr>
          <w:lang w:val="zh_TW" w:bidi="zh_TW"/>
        </w:rPr>
        <w:t>，</w:t>
      </w:r>
      <w:r>
        <w:rPr>
          <w:lang w:val="zh_TW" w:bidi="zh_TW"/>
        </w:rPr>
        <w:t>24:6–22</w:t>
      </w:r>
      <w:r>
        <w:rPr>
          <w:lang w:val="zh_TW" w:bidi="zh_TW"/>
        </w:rPr>
        <w:t>，</w:t>
      </w:r>
      <w:r>
        <w:rPr>
          <w:lang w:val="zh_TW" w:bidi="zh_TW"/>
        </w:rPr>
        <w:t>26:12–13</w:t>
      </w:r>
      <w:r>
        <w:rPr>
          <w:lang w:val="zh_TW" w:bidi="zh_TW"/>
        </w:rPr>
        <w:t>，</w:t>
      </w:r>
      <w:r>
        <w:rPr>
          <w:lang w:val="zh_TW" w:bidi="zh_TW"/>
        </w:rPr>
        <w:t>27:17–19；</w:t>
      </w:r>
      <w:r>
        <w:rPr>
          <w:lang w:val="zh_TW" w:bidi="zh_TW"/>
        </w:rPr>
        <w:t>撒上2:8；</w:t>
      </w:r>
      <w:r>
        <w:rPr>
          <w:lang w:val="zh_TW" w:bidi="zh_TW"/>
        </w:rPr>
        <w:t>詩10:13–18</w:t>
      </w:r>
      <w:r>
        <w:rPr>
          <w:lang w:val="zh_TW" w:bidi="zh_TW"/>
        </w:rPr>
        <w:t>，</w:t>
      </w:r>
      <w:r>
        <w:rPr>
          <w:lang w:val="zh_TW" w:bidi="zh_TW"/>
        </w:rPr>
        <w:t>35:10</w:t>
      </w:r>
      <w:r>
        <w:rPr>
          <w:lang w:val="zh_TW" w:bidi="zh_TW"/>
        </w:rPr>
        <w:t>，</w:t>
      </w:r>
      <w:r>
        <w:rPr>
          <w:lang w:val="zh_TW" w:bidi="zh_TW"/>
        </w:rPr>
        <w:t>68:5；</w:t>
      </w:r>
      <w:r>
        <w:rPr>
          <w:lang w:val="zh_TW" w:bidi="zh_TW"/>
        </w:rPr>
        <w:t>箴14:31；</w:t>
      </w:r>
      <w:r>
        <w:rPr>
          <w:lang w:val="zh_TW" w:bidi="zh_TW"/>
        </w:rPr>
        <w:t>賽1:15–17；</w:t>
      </w:r>
      <w:r>
        <w:rPr>
          <w:lang w:val="zh_TW" w:bidi="zh_TW"/>
        </w:rPr>
        <w:t>摩2:6</w:t>
      </w:r>
      <w:r>
        <w:rPr>
          <w:lang w:val="zh_TW" w:bidi="zh_TW"/>
        </w:rPr>
        <w:t>，</w:t>
      </w:r>
      <w:r>
        <w:rPr>
          <w:lang w:val="zh_TW" w:bidi="zh_TW"/>
        </w:rPr>
        <w:t>4:1</w:t>
      </w:r>
      <w:r>
        <w:rPr>
          <w:lang w:val="zh_TW" w:bidi="zh_TW"/>
        </w:rPr>
        <w:t>，</w:t>
      </w:r>
      <w:r>
        <w:rPr>
          <w:lang w:val="zh_TW" w:bidi="zh_TW"/>
        </w:rPr>
        <w:t>8:4–7；</w:t>
      </w:r>
      <w:r>
        <w:rPr>
          <w:lang w:val="zh_TW" w:bidi="zh_TW"/>
        </w:rPr>
        <w:t>彌6:6–8</w:t>
      </w:r>
      <w:r>
        <w:rPr>
          <w:lang w:val="zh_TW" w:bidi="zh_TW"/>
        </w:rPr>
        <w:t>、</w:t>
      </w:r>
      <w:r>
        <w:rPr>
          <w:lang w:val="zh_TW" w:bidi="zh_TW"/>
        </w:rPr>
        <w:t>12；</w:t>
      </w:r>
      <w:r>
        <w:rPr>
          <w:lang w:val="zh_TW" w:bidi="zh_TW"/>
        </w:rPr>
        <w:t>可12:41–44；</w:t>
      </w:r>
      <w:r>
        <w:rPr>
          <w:lang w:val="zh_TW" w:bidi="zh_TW"/>
        </w:rPr>
        <w:t>路6:20</w:t>
      </w:r>
      <w:r>
        <w:rPr>
          <w:lang w:val="zh_TW" w:bidi="zh_TW"/>
        </w:rPr>
        <w:t>，</w:t>
      </w:r>
      <w:r>
        <w:rPr>
          <w:lang w:val="zh_TW" w:bidi="zh_TW"/>
        </w:rPr>
        <w:t>14:12–14；</w:t>
      </w:r>
      <w:r>
        <w:rPr>
          <w:lang w:val="zh_TW" w:bidi="zh_TW"/>
        </w:rPr>
        <w:t>雅2:1–17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