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gui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歸向耶和華</w:t>
      </w:r>
      <w:r>
        <w:rPr>
          <w:lang w:val="zh_TW" w:bidi="zh_TW"/>
        </w:rPr>
      </w:r>
    </w:p>
    <w:p>
      <w:pPr/>
      <w:r>
        <w:rPr>
          <w:lang w:val="zh_TW" w:bidi="zh_TW"/>
        </w:rPr>
      </w:r>
      <w:r>
        <w:rPr>
          <w:lang w:val="zh_TW" w:bidi="zh_TW"/>
        </w:rPr>
        <w:t>舊約中的先知，屢次呼籲以色列人歸向耶和華，無論是在被擄到巴比倫之前，或是在被擄之後（例如，</w:t>
      </w:r>
      <w:r>
        <w:rPr>
          <w:lang w:val="zh_TW" w:bidi="zh_TW"/>
        </w:rPr>
        <w:t>賽55:6–7</w:t>
      </w:r>
      <w:r>
        <w:rPr>
          <w:lang w:val="zh_TW" w:bidi="zh_TW"/>
        </w:rPr>
        <w:t>；</w:t>
      </w:r>
      <w:r>
        <w:rPr>
          <w:lang w:val="zh_TW" w:bidi="zh_TW"/>
        </w:rPr>
        <w:t>何6:1–3</w:t>
      </w:r>
      <w:r>
        <w:rPr>
          <w:lang w:val="zh_TW" w:bidi="zh_TW"/>
        </w:rPr>
        <w:t>；</w:t>
      </w:r>
      <w:r>
        <w:rPr>
          <w:lang w:val="zh_TW" w:bidi="zh_TW"/>
        </w:rPr>
        <w:t>該1:12</w:t>
      </w:r>
      <w:r>
        <w:rPr>
          <w:lang w:val="zh_TW" w:bidi="zh_TW"/>
        </w:rPr>
        <w:t>；</w:t>
      </w:r>
      <w:r>
        <w:rPr>
          <w:lang w:val="zh_TW" w:bidi="zh_TW"/>
        </w:rPr>
        <w:t>瑪3:7</w:t>
      </w:r>
      <w:r>
        <w:rPr>
          <w:lang w:val="zh_TW" w:bidi="zh_TW"/>
        </w:rPr>
        <w:t>）。這樣的呼召，表明以色列人要重新立定心志，回轉順服神的旨意。他們曾背離真神，轉而敬拜別神，因此招致神的審判——聖殿被毀，百姓被擄。神對祂子民的復興與賜福，是建立在他們願意悔改歸向祂、順服祂的基礎上。</w:t>
      </w:r>
    </w:p>
    <w:p>
      <w:pPr/>
      <w:r>
        <w:rPr>
          <w:lang w:val="zh_TW" w:bidi="zh_TW"/>
        </w:rPr>
      </w:r>
      <w:r>
        <w:rPr>
          <w:lang w:val="zh_TW" w:bidi="zh_TW"/>
        </w:rPr>
        <w:t>先知撒迦利亞對於從被擄之地歸回耶路撒冷的百姓，有一個主要的信息。他在開始時便宣告：「</w:t>
      </w:r>
      <w:r>
        <w:rPr>
          <w:lang w:val="zh_TW" w:bidi="zh_TW"/>
        </w:rPr>
        <w:t>你們要轉向我，我就轉向你們。這是萬軍之耶和華說的</w:t>
      </w:r>
      <w:r>
        <w:rPr>
          <w:lang w:val="zh_TW" w:bidi="zh_TW"/>
        </w:rPr>
        <w:t>」（</w:t>
      </w:r>
      <w:r>
        <w:rPr>
          <w:lang w:val="zh_TW" w:bidi="zh_TW"/>
        </w:rPr>
        <w:t>亞1:3</w:t>
      </w:r>
      <w:r>
        <w:rPr>
          <w:lang w:val="zh_TW" w:bidi="zh_TW"/>
        </w:rPr>
        <w:t>）。撒迦利亞勸勉以色列人重新委身於神與他們所立特別的約（即盟約），並警戒他們要記取列祖的教訓——他們因不忠於盟約而遭受嚴厲的後果（</w:t>
      </w:r>
      <w:r>
        <w:rPr>
          <w:lang w:val="zh_TW" w:bidi="zh_TW"/>
        </w:rPr>
        <w:t>7:11–14</w:t>
      </w:r>
      <w:r>
        <w:rPr>
          <w:lang w:val="zh_TW" w:bidi="zh_TW"/>
        </w:rPr>
        <w:t>）。</w:t>
      </w:r>
    </w:p>
    <w:p>
      <w:pPr/>
      <w:r>
        <w:rPr>
          <w:lang w:val="zh_TW" w:bidi="zh_TW"/>
        </w:rPr>
      </w:r>
      <w:r>
        <w:rPr>
          <w:lang w:val="zh_TW" w:bidi="zh_TW"/>
        </w:rPr>
        <w:t>撒迦利亞關心以色列與神之間的盟約，以及社會的公義。他強調，真正歸向耶和華，應當伴隨順服祂的誡命，並實踐公義、誠實、公平、憐憫與慈愛（</w:t>
      </w:r>
      <w:r>
        <w:rPr>
          <w:lang w:val="zh_TW" w:bidi="zh_TW"/>
        </w:rPr>
        <w:t>亞7:9–10</w:t>
      </w:r>
      <w:r>
        <w:rPr>
          <w:lang w:val="zh_TW" w:bidi="zh_TW"/>
        </w:rPr>
        <w:t>，</w:t>
      </w:r>
      <w:r>
        <w:rPr>
          <w:lang w:val="zh_TW" w:bidi="zh_TW"/>
        </w:rPr>
        <w:t>8:16–17</w:t>
      </w:r>
      <w:r>
        <w:rPr>
          <w:lang w:val="zh_TW" w:bidi="zh_TW"/>
        </w:rPr>
        <w:t>）。撒迦利亞強調人與神、人與人之間的正確關係，也預示了耶穌後來的教導。耶穌說最大的誡命就是「你要盡心、盡性、盡意愛主你的神」，其次是「要愛人如己」（</w:t>
      </w:r>
      <w:r>
        <w:rPr>
          <w:lang w:val="zh_TW" w:bidi="zh_TW"/>
        </w:rPr>
        <w:t>太22:34–40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撒上7:2–11</w:t>
      </w:r>
      <w:r>
        <w:rPr>
          <w:lang w:val="zh_TW" w:bidi="zh_TW"/>
        </w:rPr>
        <w:t>；</w:t>
      </w:r>
      <w:r>
        <w:rPr>
          <w:lang w:val="zh_TW" w:bidi="zh_TW"/>
        </w:rPr>
        <w:t>賽1:16–20</w:t>
      </w:r>
      <w:r>
        <w:rPr>
          <w:lang w:val="zh_TW" w:bidi="zh_TW"/>
        </w:rPr>
        <w:t>，</w:t>
      </w:r>
      <w:r>
        <w:rPr>
          <w:lang w:val="zh_TW" w:bidi="zh_TW"/>
        </w:rPr>
        <w:t>55:7</w:t>
      </w:r>
      <w:r>
        <w:rPr>
          <w:lang w:val="zh_TW" w:bidi="zh_TW"/>
        </w:rPr>
        <w:t>；</w:t>
      </w:r>
      <w:r>
        <w:rPr>
          <w:lang w:val="zh_TW" w:bidi="zh_TW"/>
        </w:rPr>
        <w:t>何6:1–3</w:t>
      </w:r>
      <w:r>
        <w:rPr>
          <w:lang w:val="zh_TW" w:bidi="zh_TW"/>
        </w:rPr>
        <w:t>，</w:t>
      </w:r>
      <w:r>
        <w:rPr>
          <w:lang w:val="zh_TW" w:bidi="zh_TW"/>
        </w:rPr>
        <w:t>14:1–7</w:t>
      </w:r>
      <w:r>
        <w:rPr>
          <w:lang w:val="zh_TW" w:bidi="zh_TW"/>
        </w:rPr>
        <w:t>；</w:t>
      </w:r>
      <w:r>
        <w:rPr>
          <w:lang w:val="zh_TW" w:bidi="zh_TW"/>
        </w:rPr>
        <w:t>該1:12</w:t>
      </w:r>
      <w:r>
        <w:rPr>
          <w:lang w:val="zh_TW" w:bidi="zh_TW"/>
        </w:rPr>
        <w:t>；</w:t>
      </w:r>
      <w:r>
        <w:rPr>
          <w:lang w:val="zh_TW" w:bidi="zh_TW"/>
        </w:rPr>
        <w:t>亞1:3</w:t>
      </w:r>
      <w:r>
        <w:rPr>
          <w:lang w:val="zh_TW" w:bidi="zh_TW"/>
        </w:rPr>
        <w:t>，</w:t>
      </w:r>
      <w:r>
        <w:rPr>
          <w:lang w:val="zh_TW" w:bidi="zh_TW"/>
        </w:rPr>
        <w:t>7:9–14</w:t>
      </w:r>
      <w:r>
        <w:rPr>
          <w:lang w:val="zh_TW" w:bidi="zh_TW"/>
        </w:rPr>
        <w:t>，</w:t>
      </w:r>
      <w:r>
        <w:rPr>
          <w:lang w:val="zh_TW" w:bidi="zh_TW"/>
        </w:rPr>
        <w:t>8:16–17</w:t>
      </w:r>
      <w:r>
        <w:rPr>
          <w:lang w:val="zh_TW" w:bidi="zh_TW"/>
        </w:rPr>
        <w:t>；</w:t>
      </w:r>
      <w:r>
        <w:rPr>
          <w:lang w:val="zh_TW" w:bidi="zh_TW"/>
        </w:rPr>
        <w:t>瑪3:7</w:t>
      </w:r>
      <w:r>
        <w:rPr>
          <w:lang w:val="zh_TW" w:bidi="zh_TW"/>
        </w:rPr>
        <w:t>；</w:t>
      </w:r>
      <w:r>
        <w:rPr>
          <w:lang w:val="zh_TW" w:bidi="zh_TW"/>
        </w:rPr>
        <w:t>太3:2–10</w:t>
      </w:r>
      <w:r>
        <w:rPr>
          <w:lang w:val="zh_TW" w:bidi="zh_TW"/>
        </w:rPr>
        <w:t>，</w:t>
      </w:r>
      <w:r>
        <w:rPr>
          <w:lang w:val="zh_TW" w:bidi="zh_TW"/>
        </w:rPr>
        <w:t>22:34–40</w:t>
      </w:r>
      <w:r>
        <w:rPr>
          <w:lang w:val="zh_TW" w:bidi="zh_TW"/>
        </w:rPr>
        <w:t>；</w:t>
      </w:r>
      <w:r>
        <w:rPr>
          <w:lang w:val="zh_TW" w:bidi="zh_TW"/>
        </w:rPr>
        <w:t>徒17:24–31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