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huo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活水</w:t>
      </w:r>
      <w:r>
        <w:rPr>
          <w:lang w:val="zh_TW" w:bidi="zh_TW"/>
        </w:rPr>
      </w:r>
    </w:p>
    <w:p>
      <w:pPr/>
      <w:r>
        <w:rPr>
          <w:lang w:val="zh_TW" w:bidi="zh_TW"/>
        </w:rPr>
      </w:r>
      <w:r>
        <w:rPr>
          <w:lang w:val="zh_TW" w:bidi="zh_TW"/>
        </w:rPr>
        <w:t>以色列地區經常乾旱，人們對水源的分布與水質非常敏感。那裡常年有水的泉源與河流不多，因此百姓多仰賴地下挖掘的大坑來收集與儲存冬季的雨水，這些設施稱為蓄水池；同時也靠掘井來獲取地下水源。</w:t>
      </w:r>
    </w:p>
    <w:p>
      <w:pPr/>
      <w:r>
        <w:rPr>
          <w:lang w:val="zh_TW" w:bidi="zh_TW"/>
        </w:rPr>
      </w:r>
      <w:r>
        <w:rPr>
          <w:lang w:val="zh_TW" w:bidi="zh_TW"/>
        </w:rPr>
        <w:t>在猶太文化中，「死水」指的是靜止或儲存的水；「活水」則指流動的水，如河流、泉水與降雨。這種水之所以珍貴，是因為它新鮮清潔。由於它直接來自神，人們用它來進行禮儀上的洗淨。（見</w:t>
      </w:r>
      <w:r>
        <w:rPr>
          <w:lang w:val="zh_TW" w:bidi="zh_TW"/>
        </w:rPr>
        <w:t>利14:5–6、</w:t>
      </w:r>
      <w:r>
        <w:rPr>
          <w:lang w:val="zh_TW" w:bidi="zh_TW"/>
        </w:rPr>
        <w:t>50–51，</w:t>
      </w:r>
      <w:r>
        <w:rPr>
          <w:lang w:val="zh_TW" w:bidi="zh_TW"/>
        </w:rPr>
        <w:t>15:13</w:t>
      </w:r>
      <w:r>
        <w:rPr>
          <w:lang w:val="zh_TW" w:bidi="zh_TW"/>
        </w:rPr>
        <w:t>；</w:t>
      </w:r>
      <w:r>
        <w:rPr>
          <w:lang w:val="zh_TW" w:bidi="zh_TW"/>
        </w:rPr>
        <w:t>民19:17–19</w:t>
      </w:r>
      <w:r>
        <w:rPr>
          <w:lang w:val="zh_TW" w:bidi="zh_TW"/>
        </w:rPr>
        <w:t>）。</w:t>
      </w:r>
    </w:p>
    <w:p>
      <w:pPr/>
      <w:r>
        <w:rPr>
          <w:lang w:val="zh_TW" w:bidi="zh_TW"/>
        </w:rPr>
      </w:r>
      <w:r>
        <w:rPr>
          <w:lang w:val="zh_TW" w:bidi="zh_TW"/>
        </w:rPr>
        <w:t>「死水」與「活水」的差異，解釋了撒馬利亞婦人聽耶穌提到「活水」時的困惑（</w:t>
      </w:r>
      <w:r>
        <w:rPr>
          <w:lang w:val="zh_TW" w:bidi="zh_TW"/>
        </w:rPr>
        <w:t>約4:12</w:t>
      </w:r>
      <w:r>
        <w:rPr>
          <w:lang w:val="zh_TW" w:bidi="zh_TW"/>
        </w:rPr>
        <w:t>）。撒馬利亞地區沒有永久流動的河流，如果雅各當年需要挖井取水，耶穌又怎麼能提供更好的水呢？</w:t>
      </w:r>
    </w:p>
    <w:p>
      <w:pPr/>
      <w:r>
        <w:rPr>
          <w:lang w:val="zh_TW" w:bidi="zh_TW"/>
        </w:rPr>
      </w:r>
      <w:r>
        <w:rPr>
          <w:lang w:val="zh_TW" w:bidi="zh_TW"/>
        </w:rPr>
        <w:t>耶穌在耶路撒冷秋季的住棚節中，再次談到「活水」（</w:t>
      </w:r>
      <w:r>
        <w:rPr>
          <w:lang w:val="zh_TW" w:bidi="zh_TW"/>
        </w:rPr>
        <w:t>約7:37–39</w:t>
      </w:r>
      <w:r>
        <w:rPr>
          <w:lang w:val="zh_TW" w:bidi="zh_TW"/>
        </w:rPr>
        <w:t>）。這個節期在乾旱季節舉行，特別強調水的重要性。在這樣的背景下，耶穌挺身而出，大膽宣告：凡渴的人都應當到祂那裡來喝水。耶穌自己就是活水的源頭，祂直接從神而來，並藉著聖靈帶來屬天的更新。</w:t>
      </w:r>
    </w:p>
    <w:p>
      <w:pPr/>
      <w:r>
        <w:rPr>
          <w:lang w:val="zh_TW" w:bidi="zh_TW"/>
        </w:rPr>
      </w:r>
      <w:r>
        <w:rPr>
          <w:u w:val="single"/>
          <w:lang w:val="zh_TW" w:bidi="zh_TW"/>
        </w:rPr>
        <w:t>進深研究的經文段落</w:t>
      </w:r>
    </w:p>
    <w:p>
      <w:pPr/>
      <w:r>
        <w:rPr>
          <w:lang w:val="zh_TW" w:bidi="zh_TW"/>
        </w:rPr>
      </w:r>
      <w:r>
        <w:rPr>
          <w:lang w:val="zh_TW" w:bidi="zh_TW"/>
        </w:rPr>
        <w:t>利14:5–6、</w:t>
      </w:r>
      <w:r>
        <w:rPr>
          <w:lang w:val="zh_TW" w:bidi="zh_TW"/>
        </w:rPr>
        <w:t>50–51，</w:t>
      </w:r>
      <w:r>
        <w:rPr>
          <w:lang w:val="zh_TW" w:bidi="zh_TW"/>
        </w:rPr>
        <w:t>15:13</w:t>
      </w:r>
      <w:r>
        <w:rPr>
          <w:lang w:val="zh_TW" w:bidi="zh_TW"/>
        </w:rPr>
        <w:t>；</w:t>
      </w:r>
      <w:r>
        <w:rPr>
          <w:lang w:val="zh_TW" w:bidi="zh_TW"/>
        </w:rPr>
        <w:t>民19:17–19</w:t>
      </w:r>
      <w:r>
        <w:rPr>
          <w:lang w:val="zh_TW" w:bidi="zh_TW"/>
        </w:rPr>
        <w:t>；</w:t>
      </w:r>
      <w:r>
        <w:rPr>
          <w:lang w:val="zh_TW" w:bidi="zh_TW"/>
        </w:rPr>
        <w:t>歌4:15</w:t>
      </w:r>
      <w:r>
        <w:rPr>
          <w:lang w:val="zh_TW" w:bidi="zh_TW"/>
        </w:rPr>
        <w:t>；</w:t>
      </w:r>
      <w:r>
        <w:rPr>
          <w:lang w:val="zh_TW" w:bidi="zh_TW"/>
        </w:rPr>
        <w:t>耶2:13，</w:t>
      </w:r>
      <w:r>
        <w:rPr>
          <w:lang w:val="zh_TW" w:bidi="zh_TW"/>
        </w:rPr>
        <w:t>17:13</w:t>
      </w:r>
      <w:r>
        <w:rPr>
          <w:lang w:val="zh_TW" w:bidi="zh_TW"/>
        </w:rPr>
        <w:t>；</w:t>
      </w:r>
      <w:r>
        <w:rPr>
          <w:lang w:val="zh_TW" w:bidi="zh_TW"/>
        </w:rPr>
        <w:t>約4:10–14，</w:t>
      </w:r>
      <w:r>
        <w:rPr>
          <w:lang w:val="zh_TW" w:bidi="zh_TW"/>
        </w:rPr>
        <w:t>7:38–39</w:t>
      </w:r>
      <w:r>
        <w:rPr>
          <w:lang w:val="zh_TW" w:bidi="zh_TW"/>
        </w:rPr>
        <w:t>；</w:t>
      </w:r>
      <w:r>
        <w:rPr>
          <w:lang w:val="zh_TW" w:bidi="zh_TW"/>
        </w:rPr>
        <w:t>雅3:11–12</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