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懼怕人</w:t>
      </w:r>
      <w:r>
        <w:rPr>
          <w:lang w:val="zh_TW" w:bidi="zh_TW"/>
        </w:rPr>
      </w:r>
    </w:p>
    <w:p>
      <w:pPr/>
      <w:r>
        <w:rPr>
          <w:lang w:val="zh_TW" w:bidi="zh_TW"/>
        </w:rPr>
      </w:r>
      <w:r>
        <w:rPr>
          <w:lang w:val="zh_TW" w:bidi="zh_TW"/>
        </w:rPr>
        <w:t>神應許，當祂的百姓遭遇敵對時，祂必與他們同在（例如，見</w:t>
      </w:r>
      <w:r>
        <w:rPr>
          <w:lang w:val="zh_TW" w:bidi="zh_TW"/>
        </w:rPr>
        <w:t>申20:1–4</w:t>
      </w:r>
      <w:r>
        <w:rPr>
          <w:lang w:val="zh_TW" w:bidi="zh_TW"/>
        </w:rPr>
        <w:t>；</w:t>
      </w:r>
      <w:r>
        <w:rPr>
          <w:lang w:val="zh_TW" w:bidi="zh_TW"/>
        </w:rPr>
        <w:t>書1:9</w:t>
      </w:r>
      <w:r>
        <w:rPr>
          <w:lang w:val="zh_TW" w:bidi="zh_TW"/>
        </w:rPr>
        <w:t>）。只要他們忠心於神，就沒有理由懼怕別人。以色列的歷史證明了這一點（見</w:t>
      </w:r>
      <w:r>
        <w:rPr>
          <w:lang w:val="zh_TW" w:bidi="zh_TW"/>
        </w:rPr>
        <w:t>出14:10–31</w:t>
      </w:r>
      <w:r>
        <w:rPr>
          <w:lang w:val="zh_TW" w:bidi="zh_TW"/>
        </w:rPr>
        <w:t>；</w:t>
      </w:r>
      <w:r>
        <w:rPr>
          <w:lang w:val="zh_TW" w:bidi="zh_TW"/>
        </w:rPr>
        <w:t>書10:9–14</w:t>
      </w:r>
      <w:r>
        <w:rPr>
          <w:lang w:val="zh_TW" w:bidi="zh_TW"/>
        </w:rPr>
        <w:t>）。然而，若有人轉向別處尋求平安與保障，神就不再是他們的「聖所」，反而會成為「絆腳的石頭」（</w:t>
      </w:r>
      <w:r>
        <w:rPr>
          <w:lang w:val="zh_TW" w:bidi="zh_TW"/>
        </w:rPr>
        <w:t>賽8:14</w:t>
      </w:r>
      <w:r>
        <w:rPr>
          <w:lang w:val="zh_TW" w:bidi="zh_TW"/>
        </w:rPr>
        <w:t>）。</w:t>
      </w:r>
    </w:p>
    <w:p>
      <w:pPr/>
      <w:r>
        <w:rPr>
          <w:lang w:val="zh_TW" w:bidi="zh_TW"/>
        </w:rPr>
      </w:r>
      <w:r>
        <w:rPr>
          <w:lang w:val="zh_TW" w:bidi="zh_TW"/>
        </w:rPr>
        <w:t>在猶大王亞哈斯掌權期間，他聽見亞蘭和以色列聯手要攻擊他時，心中極其恐懼（</w:t>
      </w:r>
      <w:r>
        <w:rPr>
          <w:lang w:val="zh_TW" w:bidi="zh_TW"/>
        </w:rPr>
        <w:t>賽7:2</w:t>
      </w:r>
      <w:r>
        <w:rPr>
          <w:lang w:val="zh_TW" w:bidi="zh_TW"/>
        </w:rPr>
        <w:t>）。耶和華勸他要有信心，因為有憑著信心才能得祂保護（</w:t>
      </w:r>
      <w:r>
        <w:rPr>
          <w:lang w:val="zh_TW" w:bidi="zh_TW"/>
        </w:rPr>
        <w:t>7:9</w:t>
      </w:r>
      <w:r>
        <w:rPr>
          <w:lang w:val="zh_TW" w:bidi="zh_TW"/>
        </w:rPr>
        <w:t>）。但亞哈斯選擇不信靠神，反而倚靠亞述的幫助。這一決定使耶和華成了他和整個以色列、猶大的「圈套和網羅」（</w:t>
      </w:r>
      <w:r>
        <w:rPr>
          <w:lang w:val="zh_TW" w:bidi="zh_TW"/>
        </w:rPr>
        <w:t>8:11–15</w:t>
      </w:r>
      <w:r>
        <w:rPr>
          <w:lang w:val="zh_TW" w:bidi="zh_TW"/>
        </w:rPr>
        <w:t>）。</w:t>
      </w:r>
    </w:p>
    <w:p>
      <w:pPr/>
      <w:r>
        <w:rPr>
          <w:lang w:val="zh_TW" w:bidi="zh_TW"/>
        </w:rPr>
      </w:r>
      <w:r>
        <w:rPr>
          <w:lang w:val="zh_TW" w:bidi="zh_TW"/>
        </w:rPr>
        <w:t>先知以賽亞的信息特意指出信心與懼怕之間的差別。亞哈斯王是懼怕的代表；希西家王則是不完全信心的例子（</w:t>
      </w:r>
      <w:r>
        <w:rPr>
          <w:lang w:val="zh_TW" w:bidi="zh_TW"/>
        </w:rPr>
        <w:t>賽37章</w:t>
      </w:r>
      <w:r>
        <w:rPr>
          <w:lang w:val="zh_TW" w:bidi="zh_TW"/>
        </w:rPr>
        <w:t>）；以賽亞本人是較好的信心榜樣（</w:t>
      </w:r>
      <w:r>
        <w:rPr>
          <w:lang w:val="zh_TW" w:bidi="zh_TW"/>
        </w:rPr>
        <w:t>8</w:t>
      </w:r>
      <w:r>
        <w:rPr>
          <w:lang w:val="zh_TW" w:bidi="zh_TW"/>
        </w:rPr>
        <w:t>章）。最後，最完美的信心榜樣，是神的「僕人」（</w:t>
      </w:r>
      <w:r>
        <w:rPr>
          <w:lang w:val="zh_TW" w:bidi="zh_TW"/>
        </w:rPr>
        <w:t>42:1–7，</w:t>
      </w:r>
      <w:r>
        <w:rPr>
          <w:lang w:val="zh_TW" w:bidi="zh_TW"/>
        </w:rPr>
        <w:t>50:4–7</w:t>
      </w:r>
      <w:r>
        <w:rPr>
          <w:lang w:val="zh_TW" w:bidi="zh_TW"/>
        </w:rPr>
        <w:t>）。</w:t>
      </w:r>
    </w:p>
    <w:p>
      <w:pPr/>
      <w:r>
        <w:rPr>
          <w:lang w:val="zh_TW" w:bidi="zh_TW"/>
        </w:rPr>
      </w:r>
      <w:r>
        <w:rPr>
          <w:lang w:val="zh_TW" w:bidi="zh_TW"/>
        </w:rPr>
        <w:t>耶穌教導祂的門徒，不要懼怕那些威脅他們，甚至想殺害他們的人（</w:t>
      </w:r>
      <w:r>
        <w:rPr>
          <w:lang w:val="zh_TW" w:bidi="zh_TW"/>
        </w:rPr>
        <w:t>太10:26–31</w:t>
      </w:r>
      <w:r>
        <w:rPr>
          <w:lang w:val="zh_TW" w:bidi="zh_TW"/>
        </w:rPr>
        <w:t>）。神顧念每一隻麻雀，甚至連人的頭髮都數過；神必須信靠祂的人同在。歷世歷代的基督徒都顯出這樣的信心，即使為信仰而面對死亡，也不懼怕人的作為（見</w:t>
      </w:r>
      <w:r>
        <w:rPr>
          <w:lang w:val="zh_TW" w:bidi="zh_TW"/>
        </w:rPr>
        <w:t>徒6:8–7:60</w:t>
      </w:r>
      <w:r>
        <w:rPr>
          <w:lang w:val="zh_TW" w:bidi="zh_TW"/>
        </w:rPr>
        <w:t>）。</w:t>
      </w:r>
    </w:p>
    <w:p>
      <w:pPr/>
      <w:r>
        <w:rPr>
          <w:lang w:val="zh_TW" w:bidi="zh_TW"/>
        </w:rPr>
      </w:r>
      <w:r>
        <w:rPr>
          <w:lang w:val="zh_TW" w:bidi="zh_TW"/>
        </w:rPr>
        <w:t>那些未曾完全委身於神的人，會懼怕他人，但那些信靠耶和華的人，能勝過懼怕，因他們明白：人的敵對只是暫時的，而神的權能卻是永恆的。</w:t>
      </w:r>
    </w:p>
    <w:p>
      <w:pPr/>
      <w:r>
        <w:rPr>
          <w:lang w:val="zh_TW" w:bidi="zh_TW"/>
        </w:rPr>
      </w:r>
      <w:r>
        <w:rPr>
          <w:u w:val="single"/>
          <w:lang w:val="zh_TW" w:bidi="zh_TW"/>
        </w:rPr>
        <w:t>進深研究的經文段落</w:t>
      </w:r>
    </w:p>
    <w:p>
      <w:pPr/>
      <w:r>
        <w:rPr>
          <w:lang w:val="zh_TW" w:bidi="zh_TW"/>
        </w:rPr>
      </w:r>
      <w:r>
        <w:rPr>
          <w:lang w:val="zh_TW" w:bidi="zh_TW"/>
        </w:rPr>
        <w:t>民14:1–12，</w:t>
      </w:r>
      <w:r>
        <w:rPr>
          <w:lang w:val="zh_TW" w:bidi="zh_TW"/>
        </w:rPr>
        <w:t>21:34–35</w:t>
      </w:r>
      <w:r>
        <w:rPr>
          <w:lang w:val="zh_TW" w:bidi="zh_TW"/>
        </w:rPr>
        <w:t>；</w:t>
      </w:r>
      <w:r>
        <w:rPr>
          <w:lang w:val="zh_TW" w:bidi="zh_TW"/>
        </w:rPr>
        <w:t>書1:9</w:t>
      </w:r>
      <w:r>
        <w:rPr>
          <w:lang w:val="zh_TW" w:bidi="zh_TW"/>
        </w:rPr>
        <w:t>；</w:t>
      </w:r>
      <w:r>
        <w:rPr>
          <w:lang w:val="zh_TW" w:bidi="zh_TW"/>
        </w:rPr>
        <w:t>王下16:5–18</w:t>
      </w:r>
      <w:r>
        <w:rPr>
          <w:lang w:val="zh_TW" w:bidi="zh_TW"/>
        </w:rPr>
        <w:t>；</w:t>
      </w:r>
      <w:r>
        <w:rPr>
          <w:lang w:val="zh_TW" w:bidi="zh_TW"/>
        </w:rPr>
        <w:t>代下28:16–23</w:t>
      </w:r>
      <w:r>
        <w:rPr>
          <w:lang w:val="zh_TW" w:bidi="zh_TW"/>
        </w:rPr>
        <w:t>；</w:t>
      </w:r>
      <w:r>
        <w:rPr>
          <w:lang w:val="zh_TW" w:bidi="zh_TW"/>
        </w:rPr>
        <w:t>詩23:4</w:t>
      </w:r>
      <w:r>
        <w:rPr>
          <w:lang w:val="zh_TW" w:bidi="zh_TW"/>
        </w:rPr>
        <w:t>；</w:t>
      </w:r>
      <w:r>
        <w:rPr>
          <w:lang w:val="zh_TW" w:bidi="zh_TW"/>
        </w:rPr>
        <w:t>箴29:25</w:t>
      </w:r>
      <w:r>
        <w:rPr>
          <w:lang w:val="zh_TW" w:bidi="zh_TW"/>
        </w:rPr>
        <w:t>；</w:t>
      </w:r>
      <w:r>
        <w:rPr>
          <w:lang w:val="zh_TW" w:bidi="zh_TW"/>
        </w:rPr>
        <w:t>賽7:1–25，</w:t>
      </w:r>
      <w:r>
        <w:rPr>
          <w:lang w:val="zh_TW" w:bidi="zh_TW"/>
        </w:rPr>
        <w:t>41:10，</w:t>
      </w:r>
      <w:r>
        <w:rPr>
          <w:lang w:val="zh_TW" w:bidi="zh_TW"/>
        </w:rPr>
        <w:t>51:7–8</w:t>
      </w:r>
      <w:r>
        <w:rPr>
          <w:lang w:val="zh_TW" w:bidi="zh_TW"/>
        </w:rPr>
        <w:t>、</w:t>
      </w:r>
      <w:r>
        <w:rPr>
          <w:lang w:val="zh_TW" w:bidi="zh_TW"/>
        </w:rPr>
        <w:t>12–13，</w:t>
      </w:r>
      <w:r>
        <w:rPr>
          <w:lang w:val="zh_TW" w:bidi="zh_TW"/>
        </w:rPr>
        <w:t>54:4，</w:t>
      </w:r>
      <w:r>
        <w:rPr>
          <w:lang w:val="zh_TW" w:bidi="zh_TW"/>
        </w:rPr>
        <w:t>57:11</w:t>
      </w:r>
      <w:r>
        <w:rPr>
          <w:lang w:val="zh_TW" w:bidi="zh_TW"/>
        </w:rPr>
        <w:t>；</w:t>
      </w:r>
      <w:r>
        <w:rPr>
          <w:lang w:val="zh_TW" w:bidi="zh_TW"/>
        </w:rPr>
        <w:t>耶10:5，</w:t>
      </w:r>
      <w:r>
        <w:rPr>
          <w:lang w:val="zh_TW" w:bidi="zh_TW"/>
        </w:rPr>
        <w:t>30:10，</w:t>
      </w:r>
      <w:r>
        <w:rPr>
          <w:lang w:val="zh_TW" w:bidi="zh_TW"/>
        </w:rPr>
        <w:t>46:27–28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