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zh_TW" w:bidi="zh_TW"/>
        </w:rPr>
      </w:r>
    </w:p>
    <w:p>
      <w:pPr>
        <w:pStyle w:val="Heading2"/>
      </w:pPr>
      <w:r>
        <w:rPr>
          <w:lang w:val="zh_TW" w:bidi="zh_TW"/>
        </w:rPr>
        <w:t>Resource: Aquifer Open Study Notes (Themes)</w:t>
      </w:r>
      <w:r>
        <w:rPr>
          <w:lang w:val="zh_TW" w:bidi="zh_TW"/>
        </w:rPr>
      </w:r>
    </w:p>
    <w:p>
      <w:pPr/>
      <w:r>
        <w:rPr>
          <w:lang w:val="zh_TW" w:bidi="zh_TW"/>
        </w:rPr>
      </w:r>
      <w:r>
        <w:rPr>
          <w:b/>
          <w:lang w:val="zh_TW" w:bidi="zh_TW"/>
        </w:rPr>
        <w:t>Aquifer Open Study Notes (Themes)</w:t>
      </w:r>
    </w:p>
    <w:p>
      <w:pPr/>
      <w:r>
        <w:rPr>
          <w:lang w:val="zh_TW" w:bidi="zh_TW"/>
        </w:rPr>
      </w:r>
      <w:r>
        <w:rPr>
          <w:lang w:val="zh_TW" w:bidi="zh_TW"/>
        </w:rPr>
        <w:t xml:space="preserve">This work is an adaptation of </w:t>
      </w:r>
      <w:r>
        <w:rPr>
          <w:lang w:val="zh_TW" w:bidi="zh_TW"/>
        </w:rPr>
        <w:t>Tyndale Open Study Notes</w:t>
      </w:r>
      <w:r>
        <w:rPr>
          <w:lang w:val="zh_TW" w:bidi="zh_TW"/>
        </w:rPr>
        <w:t xml:space="preserve"> © 2023 Tyndale House Publishers, licensed under the CC BY-SA 4.0 license. The adaptation, </w:t>
      </w:r>
      <w:r>
        <w:rPr>
          <w:lang w:val="zh_TW" w:bidi="zh_TW"/>
        </w:rPr>
        <w:t>Aquifer Open Study Notes</w:t>
      </w:r>
      <w:r>
        <w:rPr>
          <w:lang w:val="zh_TW" w:bidi="zh_TW"/>
        </w:rPr>
        <w:t>, was created by Mission Mutual and is also licensed under CC BY-SA 4.0.</w:t>
      </w:r>
    </w:p>
    <w:p>
      <w:pPr/>
      <w:r>
        <w:rPr>
          <w:lang w:val="zh_TW" w:bidi="zh_TW"/>
        </w:rPr>
      </w:r>
      <w:r>
        <w:rPr>
          <w:lang w:val="zh_TW" w:bidi="zh_TW"/>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zh_TW" w:bidi="zh_TW"/>
        </w:rPr>
      </w:r>
      <w:r>
        <w:rPr>
          <w:lang w:val="zh_TW" w:bidi="zh_TW"/>
        </w:rPr>
      </w:r>
    </w:p>
    <w:p>
      <w:pPr>
        <w:pStyle w:val="Heading1"/>
      </w:pPr>
      <w:r>
        <w:rPr>
          <w:lang w:val="zh_TW" w:bidi="zh_TW"/>
        </w:rPr>
        <w:t>Aquifer Open Study Notes (Themes)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zh_TW" w:bidi="zh_TW"/>
        </w:rPr>
      </w:r>
    </w:p>
    <w:p>
      <w:pPr>
        <w:pStyle w:val="Heading2"/>
      </w:pPr>
      <w:r>
        <w:rPr>
          <w:lang w:val="zh_TW" w:bidi="zh_TW"/>
        </w:rPr>
        <w:t>jun</w:t>
      </w:r>
      <w:r>
        <w:rPr>
          <w:lang w:val="zh_TW" w:bidi="zh_TW"/>
        </w:rPr>
      </w:r>
    </w:p>
    <w:p>
      <w:pPr/>
      <w:r>
        <w:rPr>
          <w:lang w:val="zh_TW" w:bidi="zh_TW"/>
        </w:rPr>
      </w:r>
      <w:r>
        <w:rPr>
          <w:lang w:val="zh_TW" w:bidi="zh_TW"/>
        </w:rPr>
        <w:t xml:space="preserve"> </w:t>
      </w:r>
      <w:r>
        <w:rPr>
          <w:lang w:val="zh_TW" w:bidi="zh_TW"/>
        </w:rPr>
      </w:r>
      <w:r>
        <w:rPr>
          <w:lang w:val="zh_TW" w:bidi="zh_TW"/>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zh_TW" w:bidi="zh_TW"/>
        </w:rPr>
      </w:r>
    </w:p>
    <w:p>
      <w:pPr>
        <w:pStyle w:val="Heading2"/>
      </w:pPr>
      <w:r>
        <w:rPr>
          <w:lang w:val="zh_TW" w:bidi="zh_TW"/>
        </w:rPr>
        <w:t>君王詩篇</w:t>
      </w:r>
      <w:r>
        <w:rPr>
          <w:lang w:val="zh_TW" w:bidi="zh_TW"/>
        </w:rPr>
      </w:r>
    </w:p>
    <w:p>
      <w:pPr/>
      <w:r>
        <w:rPr>
          <w:lang w:val="zh_TW" w:bidi="zh_TW"/>
        </w:rPr>
      </w:r>
      <w:r>
        <w:rPr>
          <w:lang w:val="zh_TW" w:bidi="zh_TW"/>
        </w:rPr>
        <w:t>全部</w:t>
      </w:r>
      <w:r>
        <w:rPr>
          <w:b/>
          <w:lang w:val="zh_TW" w:bidi="zh_TW"/>
        </w:rPr>
        <w:t>君王詩篇</w:t>
      </w:r>
      <w:r>
        <w:rPr>
          <w:lang w:val="zh_TW" w:bidi="zh_TW"/>
        </w:rPr>
        <w:t>（royal psalms）皆提到王、他的統治，以及他與神的關係。多數學者認為</w:t>
      </w:r>
      <w:r>
        <w:rPr>
          <w:lang w:val="zh_TW" w:bidi="zh_TW"/>
        </w:rPr>
        <w:t>詩篇二</w:t>
      </w:r>
      <w:r>
        <w:rPr>
          <w:lang w:val="zh_TW" w:bidi="zh_TW"/>
        </w:rPr>
        <w:t>、</w:t>
      </w:r>
      <w:r>
        <w:rPr>
          <w:lang w:val="zh_TW" w:bidi="zh_TW"/>
        </w:rPr>
        <w:t>十八</w:t>
      </w:r>
      <w:r>
        <w:rPr>
          <w:lang w:val="zh_TW" w:bidi="zh_TW"/>
        </w:rPr>
        <w:t>、</w:t>
      </w:r>
      <w:r>
        <w:rPr>
          <w:lang w:val="zh_TW" w:bidi="zh_TW"/>
        </w:rPr>
        <w:t>二十</w:t>
      </w:r>
      <w:r>
        <w:rPr>
          <w:lang w:val="zh_TW" w:bidi="zh_TW"/>
        </w:rPr>
        <w:t>、</w:t>
      </w:r>
      <w:r>
        <w:rPr>
          <w:lang w:val="zh_TW" w:bidi="zh_TW"/>
        </w:rPr>
        <w:t>二十一</w:t>
      </w:r>
      <w:r>
        <w:rPr>
          <w:lang w:val="zh_TW" w:bidi="zh_TW"/>
        </w:rPr>
        <w:t>、</w:t>
      </w:r>
      <w:r>
        <w:rPr>
          <w:lang w:val="zh_TW" w:bidi="zh_TW"/>
        </w:rPr>
        <w:t>四十五</w:t>
      </w:r>
      <w:r>
        <w:rPr>
          <w:lang w:val="zh_TW" w:bidi="zh_TW"/>
        </w:rPr>
        <w:t>、</w:t>
      </w:r>
      <w:r>
        <w:rPr>
          <w:lang w:val="zh_TW" w:bidi="zh_TW"/>
        </w:rPr>
        <w:t>六十一</w:t>
      </w:r>
      <w:r>
        <w:rPr>
          <w:lang w:val="zh_TW" w:bidi="zh_TW"/>
        </w:rPr>
        <w:t>、</w:t>
      </w:r>
      <w:r>
        <w:rPr>
          <w:lang w:val="zh_TW" w:bidi="zh_TW"/>
        </w:rPr>
        <w:t>七十二</w:t>
      </w:r>
      <w:r>
        <w:rPr>
          <w:lang w:val="zh_TW" w:bidi="zh_TW"/>
        </w:rPr>
        <w:t>、</w:t>
      </w:r>
      <w:r>
        <w:rPr>
          <w:lang w:val="zh_TW" w:bidi="zh_TW"/>
        </w:rPr>
        <w:t>八十九</w:t>
      </w:r>
      <w:r>
        <w:rPr>
          <w:lang w:val="zh_TW" w:bidi="zh_TW"/>
        </w:rPr>
        <w:t>、</w:t>
      </w:r>
      <w:r>
        <w:rPr>
          <w:lang w:val="zh_TW" w:bidi="zh_TW"/>
        </w:rPr>
        <w:t>一○一</w:t>
      </w:r>
      <w:r>
        <w:rPr>
          <w:lang w:val="zh_TW" w:bidi="zh_TW"/>
        </w:rPr>
        <w:t>、</w:t>
      </w:r>
      <w:r>
        <w:rPr>
          <w:lang w:val="zh_TW" w:bidi="zh_TW"/>
        </w:rPr>
        <w:t>一一</w:t>
      </w:r>
      <w:r>
        <w:rPr>
          <w:lang w:val="zh_TW" w:bidi="zh_TW"/>
        </w:rPr>
        <w:t>○</w:t>
      </w:r>
      <w:r>
        <w:rPr>
          <w:lang w:val="zh_TW" w:bidi="zh_TW"/>
        </w:rPr>
        <w:t>、</w:t>
      </w:r>
      <w:r>
        <w:rPr>
          <w:lang w:val="zh_TW" w:bidi="zh_TW"/>
        </w:rPr>
        <w:t>一三二和</w:t>
      </w:r>
      <w:r>
        <w:rPr>
          <w:lang w:val="zh_TW" w:bidi="zh_TW"/>
        </w:rPr>
        <w:t>一四四篇</w:t>
      </w:r>
      <w:r>
        <w:rPr>
          <w:lang w:val="zh_TW" w:bidi="zh_TW"/>
        </w:rPr>
        <w:t>屬於君王詩篇。</w:t>
      </w:r>
    </w:p>
    <w:p>
      <w:pPr/>
      <w:r>
        <w:rPr>
          <w:lang w:val="zh_TW" w:bidi="zh_TW"/>
        </w:rPr>
      </w:r>
      <w:r>
        <w:rPr>
          <w:lang w:val="zh_TW" w:bidi="zh_TW"/>
        </w:rPr>
        <w:t>君王詩篇是建立在對神統治的信心之上（見</w:t>
      </w:r>
      <w:r>
        <w:rPr>
          <w:lang w:val="zh_TW" w:bidi="zh_TW"/>
        </w:rPr>
        <w:t>詩2篇</w:t>
      </w:r>
      <w:r>
        <w:rPr>
          <w:lang w:val="zh_TW" w:bidi="zh_TW"/>
        </w:rPr>
        <w:t>）。大衛家族中的每一位王（即大衛王朝）都是彌賽亞的代表（messianic agent），象徵神的統治。大衛後裔的王是神的代表，有責任實踐公義、公平、信實與和平（</w:t>
      </w:r>
      <w:r>
        <w:rPr>
          <w:lang w:val="zh_TW" w:bidi="zh_TW"/>
        </w:rPr>
        <w:t>詩72:1–3</w:t>
      </w:r>
      <w:r>
        <w:rPr>
          <w:lang w:val="zh_TW" w:bidi="zh_TW"/>
        </w:rPr>
        <w:t>）。</w:t>
      </w:r>
    </w:p>
    <w:p>
      <w:pPr/>
      <w:r>
        <w:rPr>
          <w:lang w:val="zh_TW" w:bidi="zh_TW"/>
        </w:rPr>
      </w:r>
      <w:r>
        <w:rPr>
          <w:lang w:val="zh_TW" w:bidi="zh_TW"/>
        </w:rPr>
        <w:t>君王詩篇表達了大衛王朝的盼望與理想。由於這王朝後來的敗壞與失敗，它似乎走向終結（</w:t>
      </w:r>
      <w:r>
        <w:rPr>
          <w:lang w:val="zh_TW" w:bidi="zh_TW"/>
        </w:rPr>
        <w:t>詩89:38–45</w:t>
      </w:r>
      <w:r>
        <w:rPr>
          <w:lang w:val="zh_TW" w:bidi="zh_TW"/>
        </w:rPr>
        <w:t>）。然而，人們仍然盼望未來那位，出自大衛家族、以受膏者的身分統治百姓的王。君王詩篇正延續了這份期待，盼望有一位完全順服的王，延續大衛的王朝，並帶來衪統治下應有的永恆祝福。</w:t>
      </w:r>
    </w:p>
    <w:p>
      <w:pPr/>
      <w:r>
        <w:rPr>
          <w:lang w:val="zh_TW" w:bidi="zh_TW"/>
        </w:rPr>
      </w:r>
      <w:r>
        <w:rPr>
          <w:lang w:val="zh_TW" w:bidi="zh_TW"/>
        </w:rPr>
        <w:t>從這個角度來看，君王詩篇也可被視為彌賽亞詩篇，因為它們表達了人們對那位大衛後裔、理想的王──基督的盼望。耶穌曾說，詩篇的作者所指的就是祂自己（</w:t>
      </w:r>
      <w:r>
        <w:rPr>
          <w:lang w:val="zh_TW" w:bidi="zh_TW"/>
        </w:rPr>
        <w:t>路24:44</w:t>
      </w:r>
      <w:r>
        <w:rPr>
          <w:lang w:val="zh_TW" w:bidi="zh_TW"/>
        </w:rPr>
        <w:t>）。其他新約書卷的作者也證實耶穌就是彌賽亞（神所揀選的那一位）。</w:t>
      </w:r>
    </w:p>
    <w:p>
      <w:pPr/>
      <w:r>
        <w:rPr>
          <w:lang w:val="zh_TW" w:bidi="zh_TW"/>
        </w:rPr>
      </w:r>
      <w:r>
        <w:rPr>
          <w:lang w:val="zh_TW" w:bidi="zh_TW"/>
        </w:rPr>
        <w:t>以下是幾首與基督最有關連的詩篇：</w:t>
      </w:r>
    </w:p>
    <w:p>
      <w:pPr>
        <w:pStyle w:val="ListBullet"/>
        <w:spacing w:line="240" w:lineRule="auto"/>
        <w:ind w:left="720"/>
      </w:pPr>
      <w:r>
        <w:rPr>
          <w:lang w:val="zh_TW" w:bidi="zh_TW"/>
        </w:rPr>
      </w:r>
      <w:r>
        <w:rPr>
          <w:lang w:val="zh_TW" w:bidi="zh_TW"/>
        </w:rPr>
        <w:t>詩篇二篇</w:t>
      </w:r>
      <w:r>
        <w:rPr>
          <w:lang w:val="zh_TW" w:bidi="zh_TW"/>
        </w:rPr>
        <w:t>原本是關於以色列王的詩歌，主角是大衛的後裔，但其中所描繪的卻全地得勝與統治，超越大衛與所羅門時代（見</w:t>
      </w:r>
      <w:r>
        <w:rPr>
          <w:lang w:val="zh_TW" w:bidi="zh_TW"/>
        </w:rPr>
        <w:t>徒13:33</w:t>
      </w:r>
      <w:r>
        <w:rPr>
          <w:lang w:val="zh_TW" w:bidi="zh_TW"/>
        </w:rPr>
        <w:t>；</w:t>
      </w:r>
      <w:r>
        <w:rPr>
          <w:lang w:val="zh_TW" w:bidi="zh_TW"/>
        </w:rPr>
        <w:t>來1:5</w:t>
      </w:r>
      <w:r>
        <w:rPr>
          <w:lang w:val="zh_TW" w:bidi="zh_TW"/>
        </w:rPr>
        <w:t>，</w:t>
      </w:r>
      <w:r>
        <w:rPr>
          <w:lang w:val="zh_TW" w:bidi="zh_TW"/>
        </w:rPr>
        <w:t>5:5</w:t>
      </w:r>
      <w:r>
        <w:rPr>
          <w:lang w:val="zh_TW" w:bidi="zh_TW"/>
        </w:rPr>
        <w:t>）。</w:t>
      </w:r>
    </w:p>
    <w:p>
      <w:pPr>
        <w:pStyle w:val="ListBullet"/>
        <w:spacing w:line="240" w:lineRule="auto"/>
        <w:ind w:left="720"/>
      </w:pPr>
      <w:r>
        <w:rPr>
          <w:lang w:val="zh_TW" w:bidi="zh_TW"/>
        </w:rPr>
      </w:r>
      <w:r>
        <w:rPr>
          <w:lang w:val="zh_TW" w:bidi="zh_TW"/>
        </w:rPr>
        <w:t>詩篇四十五篇</w:t>
      </w:r>
      <w:r>
        <w:rPr>
          <w:lang w:val="zh_TW" w:bidi="zh_TW"/>
        </w:rPr>
        <w:t>是為王室婚禮所寫的詩，主角可能是所羅門，也可能是另一位大衛的後裔。詩中同樣提到一個長久的國度（</w:t>
      </w:r>
      <w:r>
        <w:rPr>
          <w:lang w:val="zh_TW" w:bidi="zh_TW"/>
        </w:rPr>
        <w:t>45:6</w:t>
      </w:r>
      <w:r>
        <w:rPr>
          <w:lang w:val="zh_TW" w:bidi="zh_TW"/>
        </w:rPr>
        <w:t>）。</w:t>
      </w:r>
    </w:p>
    <w:p>
      <w:pPr>
        <w:pStyle w:val="ListBullet"/>
        <w:spacing w:line="240" w:lineRule="auto"/>
        <w:ind w:left="720"/>
      </w:pPr>
      <w:r>
        <w:rPr>
          <w:lang w:val="zh_TW" w:bidi="zh_TW"/>
        </w:rPr>
      </w:r>
      <w:r>
        <w:rPr>
          <w:lang w:val="zh_TW" w:bidi="zh_TW"/>
        </w:rPr>
        <w:t>詩篇一一○篇</w:t>
      </w:r>
      <w:r>
        <w:rPr>
          <w:lang w:val="zh_TW" w:bidi="zh_TW"/>
        </w:rPr>
        <w:t>則是新約中引用最多次、關於基督的彌賽亞詩篇（見</w:t>
      </w:r>
      <w:r>
        <w:rPr>
          <w:lang w:val="zh_TW" w:bidi="zh_TW"/>
        </w:rPr>
        <w:t>太22:43–45</w:t>
      </w:r>
      <w:r>
        <w:rPr>
          <w:lang w:val="zh_TW" w:bidi="zh_TW"/>
        </w:rPr>
        <w:t>；</w:t>
      </w:r>
      <w:r>
        <w:rPr>
          <w:lang w:val="zh_TW" w:bidi="zh_TW"/>
        </w:rPr>
        <w:t>徒2:34–35</w:t>
      </w:r>
      <w:r>
        <w:rPr>
          <w:lang w:val="zh_TW" w:bidi="zh_TW"/>
        </w:rPr>
        <w:t>；</w:t>
      </w:r>
      <w:r>
        <w:rPr>
          <w:lang w:val="zh_TW" w:bidi="zh_TW"/>
        </w:rPr>
        <w:t>來1:13</w:t>
      </w:r>
      <w:r>
        <w:rPr>
          <w:lang w:val="zh_TW" w:bidi="zh_TW"/>
        </w:rPr>
        <w:t>，</w:t>
      </w:r>
      <w:r>
        <w:rPr>
          <w:lang w:val="zh_TW" w:bidi="zh_TW"/>
        </w:rPr>
        <w:t>5:5–10</w:t>
      </w:r>
      <w:r>
        <w:rPr>
          <w:lang w:val="zh_TW" w:bidi="zh_TW"/>
        </w:rPr>
        <w:t>，</w:t>
      </w:r>
      <w:r>
        <w:rPr>
          <w:lang w:val="zh_TW" w:bidi="zh_TW"/>
        </w:rPr>
        <w:t>6:20</w:t>
      </w:r>
      <w:r>
        <w:rPr>
          <w:lang w:val="zh_TW" w:bidi="zh_TW"/>
        </w:rPr>
        <w:t>，</w:t>
      </w:r>
      <w:r>
        <w:rPr>
          <w:lang w:val="zh_TW" w:bidi="zh_TW"/>
        </w:rPr>
        <w:t>7:21</w:t>
      </w:r>
      <w:r>
        <w:rPr>
          <w:lang w:val="zh_TW" w:bidi="zh_TW"/>
        </w:rPr>
        <w:t>）。其中蘊含許多重要元素，是後來被理解為預言彌賽亞的，這些元素描述了大衛及他後裔的特權、普世的得勝，以及永恆的君尊祭司職分。</w:t>
      </w:r>
    </w:p>
    <w:p>
      <w:pPr/>
      <w:r>
        <w:rPr>
          <w:lang w:val="zh_TW" w:bidi="zh_TW"/>
        </w:rPr>
      </w:r>
      <w:r>
        <w:rPr>
          <w:lang w:val="zh_TW" w:bidi="zh_TW"/>
        </w:rPr>
        <w:t>這樣的論述若不在耶穌身上應驗，就可能會顯得誇張或令人誤解。天使是站立在神面前的（見</w:t>
      </w:r>
      <w:r>
        <w:rPr>
          <w:lang w:val="zh_TW" w:bidi="zh_TW"/>
        </w:rPr>
        <w:t>路1:19</w:t>
      </w:r>
      <w:r>
        <w:rPr>
          <w:lang w:val="zh_TW" w:bidi="zh_TW"/>
        </w:rPr>
        <w:t>），但基督是神的兒子，是坐在神的「右邊」，擁有治理萬有的權柄與尊榮（</w:t>
      </w:r>
      <w:r>
        <w:rPr>
          <w:lang w:val="zh_TW" w:bidi="zh_TW"/>
        </w:rPr>
        <w:t>來1:13</w:t>
      </w:r>
      <w:r>
        <w:rPr>
          <w:lang w:val="zh_TW" w:bidi="zh_TW"/>
        </w:rPr>
        <w:t>）。</w:t>
      </w:r>
    </w:p>
    <w:p>
      <w:pPr/>
      <w:r>
        <w:rPr>
          <w:lang w:val="zh_TW" w:bidi="zh_TW"/>
        </w:rPr>
      </w:r>
      <w:r>
        <w:rPr>
          <w:u w:val="single"/>
          <w:lang w:val="zh_TW" w:bidi="zh_TW"/>
        </w:rPr>
        <w:t>進深研究的經文段落</w:t>
      </w:r>
    </w:p>
    <w:p>
      <w:pPr/>
      <w:r>
        <w:rPr>
          <w:lang w:val="zh_TW" w:bidi="zh_TW"/>
        </w:rPr>
      </w:r>
      <w:r>
        <w:rPr>
          <w:lang w:val="zh_TW" w:bidi="zh_TW"/>
        </w:rPr>
        <w:t>詩2</w:t>
      </w:r>
      <w:r>
        <w:rPr>
          <w:lang w:val="zh_TW" w:bidi="zh_TW"/>
        </w:rPr>
        <w:t>，</w:t>
      </w:r>
      <w:r>
        <w:rPr>
          <w:lang w:val="zh_TW" w:bidi="zh_TW"/>
        </w:rPr>
        <w:t>18</w:t>
      </w:r>
      <w:r>
        <w:rPr>
          <w:lang w:val="zh_TW" w:bidi="zh_TW"/>
        </w:rPr>
        <w:t>，</w:t>
      </w:r>
      <w:r>
        <w:rPr>
          <w:lang w:val="zh_TW" w:bidi="zh_TW"/>
        </w:rPr>
        <w:t>20</w:t>
      </w:r>
      <w:r>
        <w:rPr>
          <w:lang w:val="zh_TW" w:bidi="zh_TW"/>
        </w:rPr>
        <w:t>，</w:t>
      </w:r>
      <w:r>
        <w:rPr>
          <w:lang w:val="zh_TW" w:bidi="zh_TW"/>
        </w:rPr>
        <w:t>21</w:t>
      </w:r>
      <w:r>
        <w:rPr>
          <w:lang w:val="zh_TW" w:bidi="zh_TW"/>
        </w:rPr>
        <w:t>，</w:t>
      </w:r>
      <w:r>
        <w:rPr>
          <w:lang w:val="zh_TW" w:bidi="zh_TW"/>
        </w:rPr>
        <w:t>45</w:t>
      </w:r>
      <w:r>
        <w:rPr>
          <w:lang w:val="zh_TW" w:bidi="zh_TW"/>
        </w:rPr>
        <w:t>，</w:t>
      </w:r>
      <w:r>
        <w:rPr>
          <w:lang w:val="zh_TW" w:bidi="zh_TW"/>
        </w:rPr>
        <w:t>61</w:t>
      </w:r>
      <w:r>
        <w:rPr>
          <w:lang w:val="zh_TW" w:bidi="zh_TW"/>
        </w:rPr>
        <w:t>，</w:t>
      </w:r>
      <w:r>
        <w:rPr>
          <w:lang w:val="zh_TW" w:bidi="zh_TW"/>
        </w:rPr>
        <w:t>72</w:t>
      </w:r>
      <w:r>
        <w:rPr>
          <w:lang w:val="zh_TW" w:bidi="zh_TW"/>
        </w:rPr>
        <w:t>，</w:t>
      </w:r>
      <w:r>
        <w:rPr>
          <w:lang w:val="zh_TW" w:bidi="zh_TW"/>
        </w:rPr>
        <w:t>89</w:t>
      </w:r>
      <w:r>
        <w:rPr>
          <w:lang w:val="zh_TW" w:bidi="zh_TW"/>
        </w:rPr>
        <w:t>，</w:t>
      </w:r>
      <w:r>
        <w:rPr>
          <w:lang w:val="zh_TW" w:bidi="zh_TW"/>
        </w:rPr>
        <w:t>101</w:t>
      </w:r>
      <w:r>
        <w:rPr>
          <w:lang w:val="zh_TW" w:bidi="zh_TW"/>
        </w:rPr>
        <w:t>，</w:t>
      </w:r>
      <w:r>
        <w:rPr>
          <w:lang w:val="zh_TW" w:bidi="zh_TW"/>
        </w:rPr>
        <w:t>110</w:t>
      </w:r>
      <w:r>
        <w:rPr>
          <w:lang w:val="zh_TW" w:bidi="zh_TW"/>
        </w:rPr>
        <w:t>，</w:t>
      </w:r>
      <w:r>
        <w:rPr>
          <w:lang w:val="zh_TW" w:bidi="zh_TW"/>
        </w:rPr>
        <w:t>132</w:t>
      </w:r>
      <w:r>
        <w:rPr>
          <w:lang w:val="zh_TW" w:bidi="zh_TW"/>
        </w:rPr>
        <w:t>，</w:t>
      </w:r>
      <w:r>
        <w:rPr>
          <w:lang w:val="zh_TW" w:bidi="zh_TW"/>
        </w:rPr>
        <w:t>144</w:t>
      </w:r>
      <w:r>
        <w:rPr>
          <w:lang w:val="zh_TW" w:bidi="zh_TW"/>
        </w:rPr>
        <w:t>；</w:t>
      </w:r>
      <w:r>
        <w:rPr>
          <w:lang w:val="zh_TW" w:bidi="zh_TW"/>
        </w:rPr>
        <w:t>徒2:34–35</w:t>
      </w:r>
      <w:r>
        <w:rPr>
          <w:lang w:val="zh_TW" w:bidi="zh_TW"/>
        </w:rPr>
        <w:t>，</w:t>
      </w:r>
      <w:r>
        <w:rPr>
          <w:lang w:val="zh_TW" w:bidi="zh_TW"/>
        </w:rPr>
        <w:t>13:33</w:t>
      </w:r>
      <w:r>
        <w:rPr>
          <w:lang w:val="zh_TW" w:bidi="zh_TW"/>
        </w:rPr>
        <w:t>；</w:t>
      </w:r>
      <w:r>
        <w:rPr>
          <w:lang w:val="zh_TW" w:bidi="zh_TW"/>
        </w:rPr>
        <w:t>來1:5</w:t>
      </w:r>
      <w:r>
        <w:rPr>
          <w:lang w:val="zh_TW" w:bidi="zh_TW"/>
        </w:rPr>
        <w:t>、</w:t>
      </w:r>
      <w:r>
        <w:rPr>
          <w:lang w:val="zh_TW" w:bidi="zh_TW"/>
        </w:rPr>
        <w:t>13</w:t>
      </w:r>
      <w:r>
        <w:rPr>
          <w:lang w:val="zh_TW" w:bidi="zh_TW"/>
        </w:rPr>
        <w:t>，</w:t>
      </w:r>
      <w:r>
        <w:rPr>
          <w:lang w:val="zh_TW" w:bidi="zh_TW"/>
        </w:rPr>
        <w:t>5:5–10</w:t>
      </w:r>
      <w:r>
        <w:rPr>
          <w:lang w:val="zh_TW" w:bidi="zh_TW"/>
        </w:rPr>
      </w:r>
      <w:r>
        <w:rPr>
          <w:lang w:val="zh_TW" w:bidi="zh_TW"/>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zh_TW"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