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僕人領袖</w:t>
      </w:r>
      <w:r>
        <w:rPr>
          <w:lang w:val="zh_TW" w:bidi="zh_TW"/>
        </w:rPr>
      </w:r>
    </w:p>
    <w:p>
      <w:pPr/>
      <w:r>
        <w:rPr>
          <w:lang w:val="zh_TW" w:bidi="zh_TW"/>
        </w:rPr>
      </w:r>
      <w:r>
        <w:rPr>
          <w:lang w:val="zh_TW" w:bidi="zh_TW"/>
        </w:rPr>
        <w:t>僕人領袖（servant-leader） 是一位強烈渴望通過幫助和服事他人來實現目標的人。這類領導者渴望擔當僕人的角色，而不是專注於自己的權威或地位。</w:t>
      </w:r>
    </w:p>
    <w:p>
      <w:pPr/>
      <w:r>
        <w:rPr>
          <w:lang w:val="zh_TW" w:bidi="zh_TW"/>
        </w:rPr>
      </w:r>
      <w:r>
        <w:rPr>
          <w:lang w:val="zh_TW" w:bidi="zh_TW"/>
        </w:rPr>
        <w:t>舊約聖經描述摩西為耶和華的僕人（</w:t>
      </w:r>
      <w:r>
        <w:rPr>
          <w:lang w:val="zh_TW" w:bidi="zh_TW"/>
        </w:rPr>
        <w:t>出14:31</w:t>
      </w:r>
      <w:r>
        <w:rPr>
          <w:lang w:val="zh_TW" w:bidi="zh_TW"/>
        </w:rPr>
        <w:t>；</w:t>
      </w:r>
      <w:r>
        <w:rPr>
          <w:lang w:val="zh_TW" w:bidi="zh_TW"/>
        </w:rPr>
        <w:t>民12:7–8</w:t>
      </w:r>
      <w:r>
        <w:rPr>
          <w:lang w:val="zh_TW" w:bidi="zh_TW"/>
        </w:rPr>
        <w:t>）。摩西並不追求權力、名聲或物質利益。他對擔任領導角色感到猶豫，以謙卑的態度使用他的先知權柄（</w:t>
      </w:r>
      <w:r>
        <w:rPr>
          <w:lang w:val="zh_TW" w:bidi="zh_TW"/>
        </w:rPr>
        <w:t>民12:3</w:t>
      </w:r>
      <w:r>
        <w:rPr>
          <w:lang w:val="zh_TW" w:bidi="zh_TW"/>
        </w:rPr>
        <w:t>），並深知道自己是服在神的權柄之下（見</w:t>
      </w:r>
      <w:r>
        <w:rPr>
          <w:lang w:val="zh_TW" w:bidi="zh_TW"/>
        </w:rPr>
        <w:t>申34:10–12</w:t>
      </w:r>
      <w:r>
        <w:rPr>
          <w:lang w:val="zh_TW" w:bidi="zh_TW"/>
        </w:rPr>
        <w:t>；</w:t>
      </w:r>
      <w:r>
        <w:rPr>
          <w:lang w:val="zh_TW" w:bidi="zh_TW"/>
        </w:rPr>
        <w:t>何12:13</w:t>
      </w:r>
      <w:r>
        <w:rPr>
          <w:lang w:val="zh_TW" w:bidi="zh_TW"/>
        </w:rPr>
        <w:t>）。</w:t>
      </w:r>
    </w:p>
    <w:p>
      <w:pPr/>
      <w:r>
        <w:rPr>
          <w:lang w:val="zh_TW" w:bidi="zh_TW"/>
        </w:rPr>
      </w:r>
      <w:r>
        <w:rPr>
          <w:lang w:val="zh_TW" w:bidi="zh_TW"/>
        </w:rPr>
        <w:t>從神呼召他的那一刻開始，摩西故事裏的每一個事件都顯示出他將自己的領導地位視為對神的服事。他順服神，不為自己圖謀好處，並且忠心。他向以色列人表現出關懷、勸勉的心與遠見。摩西在以色列歷史的關鍵時刻擔任領導角色，並經常為人民祈禱或代求。他謙卑地順服神是他偉大領導的根基。</w:t>
      </w:r>
    </w:p>
    <w:p>
      <w:pPr/>
      <w:r>
        <w:rPr>
          <w:lang w:val="zh_TW" w:bidi="zh_TW"/>
        </w:rPr>
      </w:r>
      <w:r>
        <w:rPr>
          <w:lang w:val="zh_TW" w:bidi="zh_TW"/>
        </w:rPr>
        <w:t>拿撒勒人耶穌是完美的僕人領袖。福音書顯示耶穌是耶和華「受苦的僕人」（見</w:t>
      </w:r>
      <w:r>
        <w:rPr>
          <w:lang w:val="zh_TW" w:bidi="zh_TW"/>
        </w:rPr>
        <w:t>賽52:13–53:12</w:t>
      </w:r>
      <w:r>
        <w:rPr>
          <w:lang w:val="zh_TW" w:bidi="zh_TW"/>
        </w:rPr>
        <w:t>），特別藉著衪犧牲生命來彰顯出那終極的服事（</w:t>
      </w:r>
      <w:r>
        <w:rPr>
          <w:lang w:val="zh_TW" w:bidi="zh_TW"/>
        </w:rPr>
        <w:t>可10:45</w:t>
      </w:r>
      <w:r>
        <w:rPr>
          <w:lang w:val="zh_TW" w:bidi="zh_TW"/>
        </w:rPr>
        <w:t>）。耶穌以偉大的權柄說話，但卻保持謙卑。衪知道自己的角色就如一位牧羊人「為羊捨命」（</w:t>
      </w:r>
      <w:r>
        <w:rPr>
          <w:lang w:val="zh_TW" w:bidi="zh_TW"/>
        </w:rPr>
        <w:t>約10:11</w:t>
      </w:r>
      <w:r>
        <w:rPr>
          <w:lang w:val="zh_TW" w:bidi="zh_TW"/>
        </w:rPr>
        <w:t>）。</w:t>
      </w:r>
    </w:p>
    <w:p>
      <w:pPr/>
      <w:r>
        <w:rPr>
          <w:lang w:val="zh_TW" w:bidi="zh_TW"/>
        </w:rPr>
      </w:r>
      <w:r>
        <w:rPr>
          <w:lang w:val="zh_TW" w:bidi="zh_TW"/>
        </w:rPr>
        <w:t>祂花時間與孩童相處，並以他們來作為那些想要完全跟隨神的人的榜樣（</w:t>
      </w:r>
      <w:r>
        <w:rPr>
          <w:lang w:val="zh_TW" w:bidi="zh_TW"/>
        </w:rPr>
        <w:t>太18:4</w:t>
      </w:r>
      <w:r>
        <w:rPr>
          <w:lang w:val="zh_TW" w:bidi="zh_TW"/>
        </w:rPr>
        <w:t>）。當雅各和約翰要求在衪的國度中擔任重要職位時，耶穌斥責他們世俗的野心（</w:t>
      </w:r>
      <w:r>
        <w:rPr>
          <w:lang w:val="zh_TW" w:bidi="zh_TW"/>
        </w:rPr>
        <w:t>可10:35–45</w:t>
      </w:r>
      <w:r>
        <w:rPr>
          <w:lang w:val="zh_TW" w:bidi="zh_TW"/>
        </w:rPr>
        <w:t>）。衪糾正他們，並教導他們來跟隨衪如僕人般的榜樣（</w:t>
      </w:r>
      <w:r>
        <w:rPr>
          <w:lang w:val="zh_TW" w:bidi="zh_TW"/>
        </w:rPr>
        <w:t>太20:24–28</w:t>
      </w:r>
      <w:r>
        <w:rPr>
          <w:lang w:val="zh_TW" w:bidi="zh_TW"/>
        </w:rPr>
        <w:t>，</w:t>
      </w:r>
      <w:r>
        <w:rPr>
          <w:lang w:val="zh_TW" w:bidi="zh_TW"/>
        </w:rPr>
        <w:t>23:11–12</w:t>
      </w:r>
      <w:r>
        <w:rPr>
          <w:lang w:val="zh_TW" w:bidi="zh_TW"/>
        </w:rPr>
        <w:t>；</w:t>
      </w:r>
      <w:r>
        <w:rPr>
          <w:lang w:val="zh_TW" w:bidi="zh_TW"/>
        </w:rPr>
        <w:t>可10:43–45</w:t>
      </w:r>
      <w:r>
        <w:rPr>
          <w:lang w:val="zh_TW" w:bidi="zh_TW"/>
        </w:rPr>
        <w:t>）。耶穌知道祂的目的是要榮耀神的名（</w:t>
      </w:r>
      <w:r>
        <w:rPr>
          <w:lang w:val="zh_TW" w:bidi="zh_TW"/>
        </w:rPr>
        <w:t>約12:27–28</w:t>
      </w:r>
      <w:r>
        <w:rPr>
          <w:lang w:val="zh_TW" w:bidi="zh_TW"/>
        </w:rPr>
        <w:t>），因此祂成為所有想要透過服事來引領他人的榜樣。</w:t>
      </w:r>
    </w:p>
    <w:p>
      <w:pPr/>
      <w:r>
        <w:rPr>
          <w:lang w:val="zh_TW" w:bidi="zh_TW"/>
        </w:rPr>
      </w:r>
      <w:r>
        <w:rPr>
          <w:lang w:val="zh_TW" w:bidi="zh_TW"/>
        </w:rPr>
        <w:t>使徒保羅和彼得效法基督，活出了依照主完美僕人領袖為榜樣的生命。保羅的服事生活展現了謙卑和為他人的自我犧牲（見</w:t>
      </w:r>
      <w:r>
        <w:rPr>
          <w:lang w:val="zh_TW" w:bidi="zh_TW"/>
        </w:rPr>
        <w:t>林後11:23–28</w:t>
      </w:r>
      <w:r>
        <w:rPr>
          <w:lang w:val="zh_TW" w:bidi="zh_TW"/>
        </w:rPr>
        <w:t>），他教導基督徒也當如此行（</w:t>
      </w:r>
      <w:r>
        <w:rPr>
          <w:lang w:val="zh_TW" w:bidi="zh_TW"/>
        </w:rPr>
        <w:t>羅8:17</w:t>
      </w:r>
      <w:r>
        <w:rPr>
          <w:lang w:val="zh_TW" w:bidi="zh_TW"/>
        </w:rPr>
        <w:t>；</w:t>
      </w:r>
      <w:r>
        <w:rPr>
          <w:lang w:val="zh_TW" w:bidi="zh_TW"/>
        </w:rPr>
        <w:t>加5:13</w:t>
      </w:r>
      <w:r>
        <w:rPr>
          <w:lang w:val="zh_TW" w:bidi="zh_TW"/>
        </w:rPr>
        <w:t>；</w:t>
      </w:r>
      <w:r>
        <w:rPr>
          <w:lang w:val="zh_TW" w:bidi="zh_TW"/>
        </w:rPr>
        <w:t>提後1:8，</w:t>
      </w:r>
      <w:r>
        <w:rPr>
          <w:lang w:val="zh_TW" w:bidi="zh_TW"/>
        </w:rPr>
        <w:t>2:3</w:t>
      </w:r>
      <w:r>
        <w:rPr>
          <w:lang w:val="zh_TW" w:bidi="zh_TW"/>
        </w:rPr>
        <w:t>），並讚揚那些這樣做的人（例如，</w:t>
      </w:r>
      <w:r>
        <w:rPr>
          <w:lang w:val="zh_TW" w:bidi="zh_TW"/>
        </w:rPr>
        <w:t>腓2:25–30</w:t>
      </w:r>
      <w:r>
        <w:rPr>
          <w:lang w:val="zh_TW" w:bidi="zh_TW"/>
        </w:rPr>
        <w:t>；</w:t>
      </w:r>
      <w:r>
        <w:rPr>
          <w:lang w:val="zh_TW" w:bidi="zh_TW"/>
        </w:rPr>
        <w:t>西4:7</w:t>
      </w:r>
      <w:r>
        <w:rPr>
          <w:lang w:val="zh_TW" w:bidi="zh_TW"/>
        </w:rPr>
        <w:t>）。</w:t>
      </w:r>
    </w:p>
    <w:p>
      <w:pPr/>
      <w:r>
        <w:rPr>
          <w:lang w:val="zh_TW" w:bidi="zh_TW"/>
        </w:rPr>
      </w:r>
      <w:r>
        <w:rPr>
          <w:lang w:val="zh_TW" w:bidi="zh_TW"/>
        </w:rPr>
        <w:t>彼得也展現了為基督自我犧牲的事奉（例如，</w:t>
      </w:r>
      <w:r>
        <w:rPr>
          <w:lang w:val="zh_TW" w:bidi="zh_TW"/>
        </w:rPr>
        <w:t>徒3:1–11</w:t>
      </w:r>
      <w:r>
        <w:rPr>
          <w:lang w:val="zh_TW" w:bidi="zh_TW"/>
        </w:rPr>
        <w:t>，</w:t>
      </w:r>
      <w:r>
        <w:rPr>
          <w:lang w:val="zh_TW" w:bidi="zh_TW"/>
        </w:rPr>
        <w:t>4:13–22</w:t>
      </w:r>
      <w:r>
        <w:rPr>
          <w:lang w:val="zh_TW" w:bidi="zh_TW"/>
        </w:rPr>
        <w:t>，</w:t>
      </w:r>
      <w:r>
        <w:rPr>
          <w:lang w:val="zh_TW" w:bidi="zh_TW"/>
        </w:rPr>
        <w:t>5:12–16</w:t>
      </w:r>
      <w:r>
        <w:rPr>
          <w:lang w:val="zh_TW" w:bidi="zh_TW"/>
        </w:rPr>
        <w:t>，</w:t>
      </w:r>
      <w:r>
        <w:rPr>
          <w:lang w:val="zh_TW" w:bidi="zh_TW"/>
        </w:rPr>
        <w:t>9:32–42</w:t>
      </w:r>
      <w:r>
        <w:rPr>
          <w:lang w:val="zh_TW" w:bidi="zh_TW"/>
        </w:rPr>
        <w:t>）。他的教導也清楚地定義了僕人領袖的品格（</w:t>
      </w:r>
      <w:r>
        <w:rPr>
          <w:lang w:val="zh_TW" w:bidi="zh_TW"/>
        </w:rPr>
        <w:t>彼前4:10–11</w:t>
      </w:r>
      <w:r>
        <w:rPr>
          <w:lang w:val="zh_TW" w:bidi="zh_TW"/>
        </w:rPr>
        <w:t>，</w:t>
      </w:r>
      <w:r>
        <w:rPr>
          <w:lang w:val="zh_TW" w:bidi="zh_TW"/>
        </w:rPr>
        <w:t>5:1–5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創13:8–12</w:t>
      </w:r>
      <w:r>
        <w:rPr>
          <w:lang w:val="zh_TW" w:bidi="zh_TW"/>
        </w:rPr>
        <w:t>，</w:t>
      </w:r>
      <w:r>
        <w:rPr>
          <w:lang w:val="zh_TW" w:bidi="zh_TW"/>
        </w:rPr>
        <w:t>14:11–24</w:t>
      </w:r>
      <w:r>
        <w:rPr>
          <w:lang w:val="zh_TW" w:bidi="zh_TW"/>
        </w:rPr>
        <w:t>，</w:t>
      </w:r>
      <w:r>
        <w:rPr>
          <w:lang w:val="zh_TW" w:bidi="zh_TW"/>
        </w:rPr>
        <w:t>30:31–32</w:t>
      </w:r>
      <w:r>
        <w:rPr>
          <w:lang w:val="zh_TW" w:bidi="zh_TW"/>
        </w:rPr>
        <w:t>；</w:t>
      </w:r>
      <w:r>
        <w:rPr>
          <w:lang w:val="zh_TW" w:bidi="zh_TW"/>
        </w:rPr>
        <w:t>出14:31</w:t>
      </w:r>
      <w:r>
        <w:rPr>
          <w:lang w:val="zh_TW" w:bidi="zh_TW"/>
        </w:rPr>
        <w:t>；</w:t>
      </w:r>
      <w:r>
        <w:rPr>
          <w:lang w:val="zh_TW" w:bidi="zh_TW"/>
        </w:rPr>
        <w:t>民12:3</w:t>
      </w:r>
      <w:r>
        <w:rPr>
          <w:lang w:val="zh_TW" w:bidi="zh_TW"/>
        </w:rPr>
        <w:t>、</w:t>
      </w:r>
      <w:r>
        <w:rPr>
          <w:lang w:val="zh_TW" w:bidi="zh_TW"/>
        </w:rPr>
        <w:t>7–8</w:t>
      </w:r>
      <w:r>
        <w:rPr>
          <w:lang w:val="zh_TW" w:bidi="zh_TW"/>
        </w:rPr>
        <w:t>；</w:t>
      </w:r>
      <w:r>
        <w:rPr>
          <w:lang w:val="zh_TW" w:bidi="zh_TW"/>
        </w:rPr>
        <w:t>申34:10–12</w:t>
      </w:r>
      <w:r>
        <w:rPr>
          <w:lang w:val="zh_TW" w:bidi="zh_TW"/>
        </w:rPr>
        <w:t>；</w:t>
      </w:r>
      <w:r>
        <w:rPr>
          <w:lang w:val="zh_TW" w:bidi="zh_TW"/>
        </w:rPr>
        <w:t>王上12:1–7</w:t>
      </w:r>
      <w:r>
        <w:rPr>
          <w:lang w:val="zh_TW" w:bidi="zh_TW"/>
        </w:rPr>
        <w:t>；</w:t>
      </w:r>
      <w:r>
        <w:rPr>
          <w:lang w:val="zh_TW" w:bidi="zh_TW"/>
        </w:rPr>
        <w:t>賽52:13–53:12</w:t>
      </w:r>
      <w:r>
        <w:rPr>
          <w:lang w:val="zh_TW" w:bidi="zh_TW"/>
        </w:rPr>
        <w:t>；</w:t>
      </w:r>
      <w:r>
        <w:rPr>
          <w:lang w:val="zh_TW" w:bidi="zh_TW"/>
        </w:rPr>
        <w:t>太18:4</w:t>
      </w:r>
      <w:r>
        <w:rPr>
          <w:lang w:val="zh_TW" w:bidi="zh_TW"/>
        </w:rPr>
        <w:t>，</w:t>
      </w:r>
      <w:r>
        <w:rPr>
          <w:lang w:val="zh_TW" w:bidi="zh_TW"/>
        </w:rPr>
        <w:t>20:24–28</w:t>
      </w:r>
      <w:r>
        <w:rPr>
          <w:lang w:val="zh_TW" w:bidi="zh_TW"/>
        </w:rPr>
        <w:t>，</w:t>
      </w:r>
      <w:r>
        <w:rPr>
          <w:lang w:val="zh_TW" w:bidi="zh_TW"/>
        </w:rPr>
        <w:t>23:11–12</w:t>
      </w:r>
      <w:r>
        <w:rPr>
          <w:lang w:val="zh_TW" w:bidi="zh_TW"/>
        </w:rPr>
        <w:t>；</w:t>
      </w:r>
      <w:r>
        <w:rPr>
          <w:lang w:val="zh_TW" w:bidi="zh_TW"/>
        </w:rPr>
        <w:t>可10:35–45</w:t>
      </w:r>
      <w:r>
        <w:rPr>
          <w:lang w:val="zh_TW" w:bidi="zh_TW"/>
        </w:rPr>
        <w:t>；</w:t>
      </w:r>
      <w:r>
        <w:rPr>
          <w:lang w:val="zh_TW" w:bidi="zh_TW"/>
        </w:rPr>
        <w:t>約10:11</w:t>
      </w:r>
      <w:r>
        <w:rPr>
          <w:lang w:val="zh_TW" w:bidi="zh_TW"/>
        </w:rPr>
        <w:t>，</w:t>
      </w:r>
      <w:r>
        <w:rPr>
          <w:lang w:val="zh_TW" w:bidi="zh_TW"/>
        </w:rPr>
        <w:t>12:27–28</w:t>
      </w:r>
      <w:r>
        <w:rPr>
          <w:lang w:val="zh_TW" w:bidi="zh_TW"/>
        </w:rPr>
        <w:t>；</w:t>
      </w:r>
      <w:r>
        <w:rPr>
          <w:lang w:val="zh_TW" w:bidi="zh_TW"/>
        </w:rPr>
        <w:t>徒3:1–11</w:t>
      </w:r>
      <w:r>
        <w:rPr>
          <w:lang w:val="zh_TW" w:bidi="zh_TW"/>
        </w:rPr>
        <w:t>，</w:t>
      </w:r>
      <w:r>
        <w:rPr>
          <w:lang w:val="zh_TW" w:bidi="zh_TW"/>
        </w:rPr>
        <w:t>4:13–22</w:t>
      </w:r>
      <w:r>
        <w:rPr>
          <w:lang w:val="zh_TW" w:bidi="zh_TW"/>
        </w:rPr>
        <w:t>，</w:t>
      </w:r>
      <w:r>
        <w:rPr>
          <w:lang w:val="zh_TW" w:bidi="zh_TW"/>
        </w:rPr>
        <w:t>5:12–16</w:t>
      </w:r>
      <w:r>
        <w:rPr>
          <w:lang w:val="zh_TW" w:bidi="zh_TW"/>
        </w:rPr>
        <w:t>，</w:t>
      </w:r>
      <w:r>
        <w:rPr>
          <w:lang w:val="zh_TW" w:bidi="zh_TW"/>
        </w:rPr>
        <w:t>9:32–42</w:t>
      </w:r>
      <w:r>
        <w:rPr>
          <w:lang w:val="zh_TW" w:bidi="zh_TW"/>
        </w:rPr>
        <w:t>；</w:t>
      </w:r>
      <w:r>
        <w:rPr>
          <w:lang w:val="zh_TW" w:bidi="zh_TW"/>
        </w:rPr>
        <w:t>羅8:17</w:t>
      </w:r>
      <w:r>
        <w:rPr>
          <w:lang w:val="zh_TW" w:bidi="zh_TW"/>
        </w:rPr>
        <w:t>；</w:t>
      </w:r>
      <w:r>
        <w:rPr>
          <w:lang w:val="zh_TW" w:bidi="zh_TW"/>
        </w:rPr>
        <w:t>林後11:23–27</w:t>
      </w:r>
      <w:r>
        <w:rPr>
          <w:lang w:val="zh_TW" w:bidi="zh_TW"/>
        </w:rPr>
        <w:t>；</w:t>
      </w:r>
      <w:r>
        <w:rPr>
          <w:lang w:val="zh_TW" w:bidi="zh_TW"/>
        </w:rPr>
        <w:t>加5:13</w:t>
      </w:r>
      <w:r>
        <w:rPr>
          <w:lang w:val="zh_TW" w:bidi="zh_TW"/>
        </w:rPr>
        <w:t>；</w:t>
      </w:r>
      <w:r>
        <w:rPr>
          <w:lang w:val="zh_TW" w:bidi="zh_TW"/>
        </w:rPr>
        <w:t>腓2:25–30</w:t>
      </w:r>
      <w:r>
        <w:rPr>
          <w:lang w:val="zh_TW" w:bidi="zh_TW"/>
        </w:rPr>
        <w:t>；</w:t>
      </w:r>
      <w:r>
        <w:rPr>
          <w:lang w:val="zh_TW" w:bidi="zh_TW"/>
        </w:rPr>
        <w:t>西4:7</w:t>
      </w:r>
      <w:r>
        <w:rPr>
          <w:lang w:val="zh_TW" w:bidi="zh_TW"/>
        </w:rPr>
        <w:t>；</w:t>
      </w:r>
      <w:r>
        <w:rPr>
          <w:lang w:val="zh_TW" w:bidi="zh_TW"/>
        </w:rPr>
        <w:t>提後1:8</w:t>
      </w:r>
      <w:r>
        <w:rPr>
          <w:lang w:val="zh_TW" w:bidi="zh_TW"/>
        </w:rPr>
        <w:t>，</w:t>
      </w:r>
      <w:r>
        <w:rPr>
          <w:lang w:val="zh_TW" w:bidi="zh_TW"/>
        </w:rPr>
        <w:t>2:3</w:t>
      </w:r>
      <w:r>
        <w:rPr>
          <w:lang w:val="zh_TW" w:bidi="zh_TW"/>
        </w:rPr>
        <w:t>；</w:t>
      </w:r>
      <w:r>
        <w:rPr>
          <w:lang w:val="zh_TW" w:bidi="zh_TW"/>
        </w:rPr>
        <w:t>彼前4:10–11</w:t>
      </w:r>
      <w:r>
        <w:rPr>
          <w:lang w:val="zh_TW" w:bidi="zh_TW"/>
        </w:rPr>
        <w:t>，</w:t>
      </w:r>
      <w:r>
        <w:rPr>
          <w:lang w:val="zh_TW" w:bidi="zh_TW"/>
        </w:rPr>
        <w:t>5:1–5</w:t>
      </w:r>
      <w:r>
        <w:rPr>
          <w:lang w:val="zh_TW" w:bidi="zh_TW"/>
        </w:rPr>
      </w:r>
      <w:r>
        <w:rPr>
          <w:lang w:val="zh_TW" w:bidi="zh_TW"/>
        </w:rPr>
      </w:r>
    </w:p>
    <w:p>
      <w:pPr/>
      <w:r>
        <w:rPr>
          <w:lang w:val="zh_TW" w:bidi="zh_TW"/>
        </w:rPr>
      </w:r>
    </w:p>
    <w:p>
      <w:pPr>
        <w:pStyle w:val="Heading2"/>
      </w:pPr>
      <w:r>
        <w:rPr>
          <w:lang w:val="zh_TW" w:bidi="zh_TW"/>
        </w:rPr>
        <w:t>普珥節</w:t>
      </w:r>
      <w:r>
        <w:rPr>
          <w:lang w:val="zh_TW" w:bidi="zh_TW"/>
        </w:rPr>
      </w:r>
    </w:p>
    <w:p>
      <w:pPr/>
      <w:r>
        <w:rPr>
          <w:lang w:val="zh_TW" w:bidi="zh_TW"/>
        </w:rPr>
      </w:r>
      <w:r>
        <w:rPr>
          <w:lang w:val="zh_TW" w:bidi="zh_TW"/>
        </w:rPr>
        <w:t>普珥節（The Feast of Purim）是舊約中，唯一不是在摩西時期設立的節期。它的名稱來自一個意思是</w:t>
      </w:r>
      <w:r>
        <w:rPr>
          <w:b/>
          <w:lang w:val="zh_TW" w:bidi="zh_TW"/>
        </w:rPr>
        <w:t>籤</w:t>
      </w:r>
      <w:r>
        <w:rPr>
          <w:lang w:val="zh_TW" w:bidi="zh_TW"/>
        </w:rPr>
        <w:t>或</w:t>
      </w:r>
      <w:r>
        <w:rPr>
          <w:b/>
          <w:lang w:val="zh_TW" w:bidi="zh_TW"/>
        </w:rPr>
        <w:t>骰子</w:t>
      </w:r>
      <w:r>
        <w:rPr>
          <w:lang w:val="zh_TW" w:bidi="zh_TW"/>
        </w:rPr>
        <w:t>的字（希伯來文</w:t>
      </w:r>
      <w:r>
        <w:rPr>
          <w:i/>
          <w:lang w:val="zh_TW" w:bidi="zh_TW"/>
        </w:rPr>
        <w:t>purim</w:t>
      </w:r>
      <w:r>
        <w:rPr>
          <w:lang w:val="zh_TW" w:bidi="zh_TW"/>
        </w:rPr>
        <w:t>，源自亞喀得語</w:t>
      </w:r>
      <w:r>
        <w:rPr>
          <w:i/>
          <w:lang w:val="zh_TW" w:bidi="zh_TW"/>
        </w:rPr>
        <w:t>puru</w:t>
      </w:r>
      <w:r>
        <w:rPr>
          <w:lang w:val="zh_TW" w:bidi="zh_TW"/>
        </w:rPr>
        <w:t>）。在古代，人們常透過擲</w:t>
      </w:r>
      <w:r>
        <w:rPr>
          <w:b/>
          <w:lang w:val="zh_TW" w:bidi="zh_TW"/>
        </w:rPr>
        <w:t>普珥</w:t>
      </w:r>
      <w:r>
        <w:rPr>
          <w:lang w:val="zh_TW" w:bidi="zh_TW"/>
        </w:rPr>
        <w:t>來</w:t>
      </w:r>
      <w:r>
        <w:rPr>
          <w:lang w:val="zh_TW" w:bidi="zh_TW"/>
        </w:rPr>
        <w:t>尋求神的旨意</w:t>
      </w:r>
      <w:r>
        <w:rPr>
          <w:lang w:val="zh_TW" w:bidi="zh_TW"/>
        </w:rPr>
        <w:t>：擲得好數字表示</w:t>
      </w:r>
      <w:r>
        <w:rPr>
          <w:lang w:val="zh_TW" w:bidi="zh_TW"/>
        </w:rPr>
        <w:t>蒙允准</w:t>
      </w:r>
      <w:r>
        <w:rPr>
          <w:lang w:val="zh_TW" w:bidi="zh_TW"/>
        </w:rPr>
        <w:t>，壞數字</w:t>
      </w:r>
      <w:r>
        <w:rPr>
          <w:lang w:val="zh_TW" w:bidi="zh_TW"/>
        </w:rPr>
        <w:t>則意味拒絕</w:t>
      </w:r>
      <w:r>
        <w:rPr>
          <w:lang w:val="zh_TW" w:bidi="zh_TW"/>
        </w:rPr>
        <w:t>。</w:t>
      </w:r>
    </w:p>
    <w:p>
      <w:pPr/>
      <w:r>
        <w:rPr>
          <w:lang w:val="zh_TW" w:bidi="zh_TW"/>
        </w:rPr>
      </w:r>
      <w:r>
        <w:rPr>
          <w:lang w:val="zh_TW" w:bidi="zh_TW"/>
        </w:rPr>
        <w:t>在波斯書珊城（Susa）王宮的寶座廳附近，考古學家發現了一個四面體小物件，每面刻有數字；一個類似這樣的骰子，上面寫有</w:t>
      </w:r>
      <w:r>
        <w:rPr>
          <w:i/>
          <w:lang w:val="zh_TW" w:bidi="zh_TW"/>
        </w:rPr>
        <w:t>pur</w:t>
      </w:r>
      <w:r>
        <w:rPr>
          <w:lang w:val="zh_TW" w:bidi="zh_TW"/>
        </w:rPr>
        <w:t>，則可追溯到公元前800的時期。以斯帖記中提到，波斯的占星師就是用</w:t>
      </w:r>
      <w:r>
        <w:rPr>
          <w:b/>
          <w:lang w:val="zh_TW" w:bidi="zh_TW"/>
        </w:rPr>
        <w:t>普珥</w:t>
      </w:r>
      <w:r>
        <w:rPr>
          <w:lang w:val="zh_TW" w:bidi="zh_TW"/>
        </w:rPr>
        <w:t>，來決定攻擊猶太人的最佳時機（</w:t>
      </w:r>
      <w:r>
        <w:rPr>
          <w:lang w:val="zh_TW" w:bidi="zh_TW"/>
        </w:rPr>
        <w:t>斯3:7</w:t>
      </w:r>
      <w:r>
        <w:rPr>
          <w:lang w:val="zh_TW" w:bidi="zh_TW"/>
        </w:rPr>
        <w:t>）。</w:t>
      </w:r>
    </w:p>
    <w:p>
      <w:pPr/>
      <w:r>
        <w:rPr>
          <w:lang w:val="zh_TW" w:bidi="zh_TW"/>
        </w:rPr>
      </w:r>
      <w:r>
        <w:rPr>
          <w:lang w:val="zh_TW" w:bidi="zh_TW"/>
        </w:rPr>
        <w:t>在公元前473年3月7日，神拯救了祂的子民脫離必死的危機，與神在逾越節拯救以色列人出埃及的事件相似。末底改和以斯帖設立了年度慶典，讓後代記住神的拯救（</w:t>
      </w:r>
      <w:r>
        <w:rPr>
          <w:lang w:val="zh_TW" w:bidi="zh_TW"/>
        </w:rPr>
        <w:t>斯9:28</w:t>
      </w:r>
      <w:r>
        <w:rPr>
          <w:lang w:val="zh_TW" w:bidi="zh_TW"/>
        </w:rPr>
        <w:t>）。後來，普珥節成為普遍猶太人都會慶祝的節期（見馬加比二書十五章36節；約瑟夫，猶太古史記11.6.13；可能是</w:t>
      </w:r>
      <w:r>
        <w:rPr>
          <w:lang w:val="zh_TW" w:bidi="zh_TW"/>
        </w:rPr>
        <w:t>約5:1</w:t>
      </w:r>
      <w:r>
        <w:rPr>
          <w:lang w:val="zh_TW" w:bidi="zh_TW"/>
        </w:rPr>
        <w:t>）。</w:t>
      </w:r>
    </w:p>
    <w:p>
      <w:pPr/>
      <w:r>
        <w:rPr>
          <w:lang w:val="zh_TW" w:bidi="zh_TW"/>
        </w:rPr>
      </w:r>
      <w:r>
        <w:rPr>
          <w:lang w:val="zh_TW" w:bidi="zh_TW"/>
        </w:rPr>
        <w:t>神拯救祂所揀選的子民，原本敵人要在那天滅絕猶太人，那天卻反而成了猶太人戰勝仇敵的日子，他們並以歡慶作結。</w:t>
      </w:r>
      <w:r>
        <w:rPr>
          <w:lang w:val="zh_TW" w:bidi="zh_TW"/>
        </w:rPr>
        <w:t>如今，猶太人在普珥節前禁食禱告，紀念以斯帖王后冒死覲見王前的禁食</w:t>
      </w:r>
      <w:r>
        <w:rPr>
          <w:lang w:val="zh_TW" w:bidi="zh_TW"/>
        </w:rPr>
        <w:t>。這禁食就在普珥節前，而普珥節則是在猶太曆亞達月（Adar）的第十四日（約在二月或三月）舉行。</w:t>
      </w:r>
    </w:p>
    <w:p>
      <w:pPr/>
      <w:r>
        <w:rPr>
          <w:lang w:val="zh_TW" w:bidi="zh_TW"/>
        </w:rPr>
      </w:r>
      <w:r>
        <w:rPr>
          <w:lang w:val="zh_TW" w:bidi="zh_TW"/>
        </w:rPr>
        <w:t>在充滿喜樂的普珥節期間，猶太人會誦讀以斯帖的故事，大聲對哈曼喝倒采，又為末底改歡呼。他們共享盛宴，與朋友交換食物和禮物，並救濟窮人。普珥節慶祝神如何保護猶太人脫離危難，也見證神如何在歷史中，一直看顧與保守祂的子民（另見</w:t>
      </w:r>
      <w:r>
        <w:rPr>
          <w:lang w:val="zh_TW" w:bidi="zh_TW"/>
        </w:rPr>
        <w:t>創45:5</w:t>
      </w:r>
      <w:r>
        <w:rPr>
          <w:lang w:val="zh_TW" w:bidi="zh_TW"/>
        </w:rPr>
        <w:t>；</w:t>
      </w:r>
      <w:r>
        <w:rPr>
          <w:lang w:val="zh_TW" w:bidi="zh_TW"/>
        </w:rPr>
        <w:t>詩91</w:t>
      </w:r>
      <w:r>
        <w:rPr>
          <w:lang w:val="zh_TW" w:bidi="zh_TW"/>
        </w:rPr>
        <w:t>；</w:t>
      </w:r>
      <w:r>
        <w:rPr>
          <w:lang w:val="zh_TW" w:bidi="zh_TW"/>
        </w:rPr>
        <w:t>箴16:9</w:t>
      </w:r>
      <w:r>
        <w:rPr>
          <w:lang w:val="zh_TW" w:bidi="zh_TW"/>
        </w:rPr>
        <w:t>、</w:t>
      </w:r>
      <w:r>
        <w:rPr>
          <w:lang w:val="zh_TW" w:bidi="zh_TW"/>
        </w:rPr>
        <w:t>33</w:t>
      </w:r>
      <w:r>
        <w:rPr>
          <w:lang w:val="zh_TW" w:bidi="zh_TW"/>
        </w:rPr>
        <w:t>；</w:t>
      </w:r>
      <w:r>
        <w:rPr>
          <w:lang w:val="zh_TW" w:bidi="zh_TW"/>
        </w:rPr>
        <w:t>但2:21</w:t>
      </w:r>
      <w:r>
        <w:rPr>
          <w:lang w:val="zh_TW" w:bidi="zh_TW"/>
        </w:rPr>
        <w:t>；</w:t>
      </w:r>
      <w:r>
        <w:rPr>
          <w:lang w:val="zh_TW" w:bidi="zh_TW"/>
        </w:rPr>
        <w:t>徒1:6–7</w:t>
      </w:r>
      <w:r>
        <w:rPr>
          <w:lang w:val="zh_TW" w:bidi="zh_TW"/>
        </w:rPr>
        <w:t>，</w:t>
      </w:r>
      <w:r>
        <w:rPr>
          <w:lang w:val="zh_TW" w:bidi="zh_TW"/>
        </w:rPr>
        <w:t>2:22–23</w:t>
      </w:r>
      <w:r>
        <w:rPr>
          <w:lang w:val="zh_TW" w:bidi="zh_TW"/>
        </w:rPr>
        <w:t>，</w:t>
      </w:r>
      <w:r>
        <w:rPr>
          <w:lang w:val="zh_TW" w:bidi="zh_TW"/>
        </w:rPr>
        <w:t>4:28–30</w:t>
      </w:r>
      <w:r>
        <w:rPr>
          <w:lang w:val="zh_TW" w:bidi="zh_TW"/>
        </w:rPr>
        <w:t>，</w:t>
      </w:r>
      <w:r>
        <w:rPr>
          <w:lang w:val="zh_TW" w:bidi="zh_TW"/>
        </w:rPr>
        <w:t>17:24–27</w:t>
      </w:r>
      <w:r>
        <w:rPr>
          <w:lang w:val="zh_TW" w:bidi="zh_TW"/>
        </w:rPr>
        <w:t>；</w:t>
      </w:r>
      <w:r>
        <w:rPr>
          <w:lang w:val="zh_TW" w:bidi="zh_TW"/>
        </w:rPr>
        <w:t>羅8:28</w:t>
      </w:r>
      <w:r>
        <w:rPr>
          <w:lang w:val="zh_TW" w:bidi="zh_TW"/>
        </w:rPr>
        <w:t>；</w:t>
      </w:r>
      <w:r>
        <w:rPr>
          <w:lang w:val="zh_TW" w:bidi="zh_TW"/>
        </w:rPr>
        <w:t>彼前3:12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斯9:1–32</w:t>
      </w:r>
      <w:r>
        <w:rPr>
          <w:lang w:val="zh_TW" w:bidi="zh_TW"/>
        </w:rPr>
        <w:t>；</w:t>
      </w:r>
      <w:r>
        <w:rPr>
          <w:lang w:val="zh_TW" w:bidi="zh_TW"/>
        </w:rPr>
        <w:t>詩37:23</w:t>
      </w:r>
      <w:r>
        <w:rPr>
          <w:lang w:val="zh_TW" w:bidi="zh_TW"/>
        </w:rPr>
        <w:t>，</w:t>
      </w:r>
      <w:r>
        <w:rPr>
          <w:lang w:val="zh_TW" w:bidi="zh_TW"/>
        </w:rPr>
        <w:t>91:1–16</w:t>
      </w:r>
      <w:r>
        <w:rPr>
          <w:lang w:val="zh_TW" w:bidi="zh_TW"/>
        </w:rPr>
        <w:t>；</w:t>
      </w:r>
      <w:r>
        <w:rPr>
          <w:lang w:val="zh_TW" w:bidi="zh_TW"/>
        </w:rPr>
        <w:t>箴16:9</w:t>
      </w:r>
      <w:r>
        <w:rPr>
          <w:lang w:val="zh_TW" w:bidi="zh_TW"/>
        </w:rPr>
        <w:t>、</w:t>
      </w:r>
      <w:r>
        <w:rPr>
          <w:lang w:val="zh_TW" w:bidi="zh_TW"/>
        </w:rPr>
        <w:t>33</w:t>
      </w:r>
      <w:r>
        <w:rPr>
          <w:lang w:val="zh_TW" w:bidi="zh_TW"/>
        </w:rPr>
        <w:t>；</w:t>
      </w:r>
      <w:r>
        <w:rPr>
          <w:lang w:val="zh_TW" w:bidi="zh_TW"/>
        </w:rPr>
        <w:t>羅8:28</w:t>
      </w:r>
      <w:r>
        <w:rPr>
          <w:lang w:val="zh_TW" w:bidi="zh_TW"/>
        </w:rPr>
        <w:t>；</w:t>
      </w:r>
      <w:r>
        <w:rPr>
          <w:lang w:val="zh_TW" w:bidi="zh_TW"/>
        </w:rPr>
        <w:t>彼前3:12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