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shou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受苦的先知</w:t>
      </w:r>
      <w:r>
        <w:rPr>
          <w:lang w:val="zh_TW" w:bidi="zh_TW"/>
        </w:rPr>
      </w:r>
    </w:p>
    <w:p>
      <w:pPr/>
      <w:r>
        <w:rPr>
          <w:lang w:val="zh_TW" w:bidi="zh_TW"/>
        </w:rPr>
      </w:r>
      <w:r>
        <w:rPr>
          <w:lang w:val="zh_TW" w:bidi="zh_TW"/>
        </w:rPr>
        <w:t>在福音書中，耶穌有許多稱號，如彌賽亞（或基督）、大衛的子孫、人子、神的兒子和主。在路加福音中，一個重要的稱號是「先知」。耶穌是摩西在</w:t>
      </w:r>
      <w:r>
        <w:rPr>
          <w:lang w:val="zh_TW" w:bidi="zh_TW"/>
        </w:rPr>
        <w:t>申命記十八章15節</w:t>
      </w:r>
      <w:r>
        <w:rPr>
          <w:lang w:val="zh_TW" w:bidi="zh_TW"/>
        </w:rPr>
        <w:t>中預言的先知。</w:t>
      </w:r>
    </w:p>
    <w:p>
      <w:pPr/>
      <w:r>
        <w:rPr>
          <w:lang w:val="zh_TW" w:bidi="zh_TW"/>
        </w:rPr>
      </w:r>
      <w:r>
        <w:rPr>
          <w:lang w:val="zh_TW" w:bidi="zh_TW"/>
        </w:rPr>
        <w:t>作為一位先知，耶穌傳講神的話語，並如舊約聖經中的偉大先知那樣施行神蹟。當耶穌使寡婦的兒子復活時，眾人驚呼：「有大先知在我們中間興起來了！」（</w:t>
      </w:r>
      <w:r>
        <w:rPr>
          <w:lang w:val="zh_TW" w:bidi="zh_TW"/>
        </w:rPr>
        <w:t>路7:16</w:t>
      </w:r>
      <w:r>
        <w:rPr>
          <w:lang w:val="zh_TW" w:bidi="zh_TW"/>
        </w:rPr>
        <w:t>）。門徒告訴耶穌，人們稱衪為先知（</w:t>
      </w:r>
      <w:r>
        <w:rPr>
          <w:lang w:val="zh_TW" w:bidi="zh_TW"/>
        </w:rPr>
        <w:t>太16:13–14</w:t>
      </w:r>
      <w:r>
        <w:rPr>
          <w:lang w:val="zh_TW" w:bidi="zh_TW"/>
        </w:rPr>
        <w:t>）。在往以馬忤斯的路上，門徒形容衪為「先知，在神和眾百姓面前，說話行事都有大能」（</w:t>
      </w:r>
      <w:r>
        <w:rPr>
          <w:lang w:val="zh_TW" w:bidi="zh_TW"/>
        </w:rPr>
        <w:t>路24:19</w:t>
      </w:r>
      <w:r>
        <w:rPr>
          <w:lang w:val="zh_TW" w:bidi="zh_TW"/>
        </w:rPr>
        <w:t>）。</w:t>
      </w:r>
    </w:p>
    <w:p>
      <w:pPr/>
      <w:r>
        <w:rPr>
          <w:lang w:val="zh_TW" w:bidi="zh_TW"/>
        </w:rPr>
      </w:r>
      <w:r>
        <w:rPr>
          <w:lang w:val="zh_TW" w:bidi="zh_TW"/>
        </w:rPr>
        <w:t>像其他先知一樣，耶穌因衪的訊息而受苦（見</w:t>
      </w:r>
      <w:r>
        <w:rPr>
          <w:lang w:val="zh_TW" w:bidi="zh_TW"/>
        </w:rPr>
        <w:t>王上19:1–18</w:t>
      </w:r>
      <w:r>
        <w:rPr>
          <w:lang w:val="zh_TW" w:bidi="zh_TW"/>
        </w:rPr>
        <w:t>；</w:t>
      </w:r>
      <w:r>
        <w:rPr>
          <w:lang w:val="zh_TW" w:bidi="zh_TW"/>
        </w:rPr>
        <w:t>耶11:18–19</w:t>
      </w:r>
      <w:r>
        <w:rPr>
          <w:lang w:val="zh_TW" w:bidi="zh_TW"/>
        </w:rPr>
        <w:t>，</w:t>
      </w:r>
      <w:r>
        <w:rPr>
          <w:lang w:val="zh_TW" w:bidi="zh_TW"/>
        </w:rPr>
        <w:t>18:18</w:t>
      </w:r>
      <w:r>
        <w:rPr>
          <w:lang w:val="zh_TW" w:bidi="zh_TW"/>
        </w:rPr>
        <w:t>，</w:t>
      </w:r>
      <w:r>
        <w:rPr>
          <w:lang w:val="zh_TW" w:bidi="zh_TW"/>
        </w:rPr>
        <w:t>20:1–2</w:t>
      </w:r>
      <w:r>
        <w:rPr>
          <w:lang w:val="zh_TW" w:bidi="zh_TW"/>
        </w:rPr>
        <w:t>、</w:t>
      </w:r>
      <w:r>
        <w:rPr>
          <w:lang w:val="zh_TW" w:bidi="zh_TW"/>
        </w:rPr>
        <w:t>7–18</w:t>
      </w:r>
      <w:r>
        <w:rPr>
          <w:lang w:val="zh_TW" w:bidi="zh_TW"/>
        </w:rPr>
        <w:t>，</w:t>
      </w:r>
      <w:r>
        <w:rPr>
          <w:lang w:val="zh_TW" w:bidi="zh_TW"/>
        </w:rPr>
        <w:t>26:7–11、</w:t>
      </w:r>
      <w:r>
        <w:rPr>
          <w:lang w:val="zh_TW" w:bidi="zh_TW"/>
        </w:rPr>
        <w:t>20–23</w:t>
      </w:r>
      <w:r>
        <w:rPr>
          <w:lang w:val="zh_TW" w:bidi="zh_TW"/>
        </w:rPr>
        <w:t>，</w:t>
      </w:r>
      <w:r>
        <w:rPr>
          <w:lang w:val="zh_TW" w:bidi="zh_TW"/>
        </w:rPr>
        <w:t>38:1–6</w:t>
      </w:r>
      <w:r>
        <w:rPr>
          <w:lang w:val="zh_TW" w:bidi="zh_TW"/>
        </w:rPr>
        <w:t>）。人們將耶穌的先知的角色聯繫於衪的神蹟和教導，但耶穌主要將此角色與衪的受苦聯繫。在拿撒勒，衪表示「沒有先知在自己家鄉被人悅納的」（</w:t>
      </w:r>
      <w:r>
        <w:rPr>
          <w:lang w:val="zh_TW" w:bidi="zh_TW"/>
        </w:rPr>
        <w:t>路4:24</w:t>
      </w:r>
      <w:r>
        <w:rPr>
          <w:lang w:val="zh_TW" w:bidi="zh_TW"/>
        </w:rPr>
        <w:t>）。後來衪指責以色列的領袖殺害他們的先知（</w:t>
      </w:r>
      <w:r>
        <w:rPr>
          <w:lang w:val="zh_TW" w:bidi="zh_TW"/>
        </w:rPr>
        <w:t>11:47–51</w:t>
      </w:r>
      <w:r>
        <w:rPr>
          <w:lang w:val="zh_TW" w:bidi="zh_TW"/>
        </w:rPr>
        <w:t>）。當衪前往耶路撒冷時，衪說：「先知在耶路撒冷之外喪命是不能的」（</w:t>
      </w:r>
      <w:r>
        <w:rPr>
          <w:lang w:val="zh_TW" w:bidi="zh_TW"/>
        </w:rPr>
        <w:t>13:33</w:t>
      </w:r>
      <w:r>
        <w:rPr>
          <w:lang w:val="zh_TW" w:bidi="zh_TW"/>
        </w:rPr>
        <w:t>）。</w:t>
      </w:r>
    </w:p>
    <w:p>
      <w:pPr/>
      <w:r>
        <w:rPr>
          <w:lang w:val="zh_TW" w:bidi="zh_TW"/>
        </w:rPr>
      </w:r>
      <w:r>
        <w:rPr>
          <w:lang w:val="zh_TW" w:bidi="zh_TW"/>
        </w:rPr>
        <w:t>在舊約聖經中，當以色列忽視神的先知時，神的審判就會降臨。同樣地，神的子民如果不聽從耶穌，也會面臨審判（見</w:t>
      </w:r>
      <w:r>
        <w:rPr>
          <w:lang w:val="zh_TW" w:bidi="zh_TW"/>
        </w:rPr>
        <w:t>徒3:22–23</w:t>
      </w:r>
      <w:r>
        <w:rPr>
          <w:lang w:val="zh_TW" w:bidi="zh_TW"/>
        </w:rPr>
        <w:t>）。</w:t>
      </w:r>
    </w:p>
    <w:p>
      <w:pPr/>
      <w:r>
        <w:rPr>
          <w:lang w:val="zh_TW" w:bidi="zh_TW"/>
        </w:rPr>
      </w:r>
      <w:r>
        <w:rPr>
          <w:lang w:val="zh_TW" w:bidi="zh_TW"/>
        </w:rPr>
        <w:t>耶穌是彌賽亞（神所揀選的那一位）的啟示顯示衪是全人類的救主。衪作為先知的角色表明他的訊息來自神。衪的話語確實是神的話語，人們必須聽從並遵循。</w:t>
      </w:r>
    </w:p>
    <w:p>
      <w:pPr/>
      <w:r>
        <w:rPr>
          <w:lang w:val="zh_TW" w:bidi="zh_TW"/>
        </w:rPr>
      </w:r>
      <w:r>
        <w:rPr>
          <w:u w:val="single"/>
          <w:lang w:val="zh_TW" w:bidi="zh_TW"/>
        </w:rPr>
        <w:t>進深研究的經文段落</w:t>
      </w:r>
    </w:p>
    <w:p>
      <w:pPr/>
      <w:r>
        <w:rPr>
          <w:lang w:val="zh_TW" w:bidi="zh_TW"/>
        </w:rPr>
      </w:r>
      <w:r>
        <w:rPr>
          <w:lang w:val="zh_TW" w:bidi="zh_TW"/>
        </w:rPr>
        <w:t>申18:15</w:t>
      </w:r>
      <w:r>
        <w:rPr>
          <w:lang w:val="zh_TW" w:bidi="zh_TW"/>
        </w:rPr>
        <w:t>；</w:t>
      </w:r>
      <w:r>
        <w:rPr>
          <w:lang w:val="zh_TW" w:bidi="zh_TW"/>
        </w:rPr>
        <w:t>太5:12</w:t>
      </w:r>
      <w:r>
        <w:rPr>
          <w:lang w:val="zh_TW" w:bidi="zh_TW"/>
        </w:rPr>
        <w:t>，</w:t>
      </w:r>
      <w:r>
        <w:rPr>
          <w:lang w:val="zh_TW" w:bidi="zh_TW"/>
        </w:rPr>
        <w:t>23:34–37</w:t>
      </w:r>
      <w:r>
        <w:rPr>
          <w:lang w:val="zh_TW" w:bidi="zh_TW"/>
        </w:rPr>
        <w:t>；</w:t>
      </w:r>
      <w:r>
        <w:rPr>
          <w:lang w:val="zh_TW" w:bidi="zh_TW"/>
        </w:rPr>
        <w:t>路4:22–24</w:t>
      </w:r>
      <w:r>
        <w:rPr>
          <w:lang w:val="zh_TW" w:bidi="zh_TW"/>
        </w:rPr>
        <w:t>，</w:t>
      </w:r>
      <w:r>
        <w:rPr>
          <w:lang w:val="zh_TW" w:bidi="zh_TW"/>
        </w:rPr>
        <w:t>6:23</w:t>
      </w:r>
      <w:r>
        <w:rPr>
          <w:lang w:val="zh_TW" w:bidi="zh_TW"/>
        </w:rPr>
        <w:t>、</w:t>
      </w:r>
      <w:r>
        <w:rPr>
          <w:lang w:val="zh_TW" w:bidi="zh_TW"/>
        </w:rPr>
        <w:t>26</w:t>
      </w:r>
      <w:r>
        <w:rPr>
          <w:lang w:val="zh_TW" w:bidi="zh_TW"/>
        </w:rPr>
        <w:t>，</w:t>
      </w:r>
      <w:r>
        <w:rPr>
          <w:lang w:val="zh_TW" w:bidi="zh_TW"/>
        </w:rPr>
        <w:t>7:16</w:t>
      </w:r>
      <w:r>
        <w:rPr>
          <w:lang w:val="zh_TW" w:bidi="zh_TW"/>
        </w:rPr>
        <w:t>，</w:t>
      </w:r>
      <w:r>
        <w:rPr>
          <w:lang w:val="zh_TW" w:bidi="zh_TW"/>
        </w:rPr>
        <w:t>11:47–52</w:t>
      </w:r>
      <w:r>
        <w:rPr>
          <w:lang w:val="zh_TW" w:bidi="zh_TW"/>
        </w:rPr>
        <w:t>，</w:t>
      </w:r>
      <w:r>
        <w:rPr>
          <w:lang w:val="zh_TW" w:bidi="zh_TW"/>
        </w:rPr>
        <w:t>13:33–34</w:t>
      </w:r>
      <w:r>
        <w:rPr>
          <w:lang w:val="zh_TW" w:bidi="zh_TW"/>
        </w:rPr>
        <w:t>，</w:t>
      </w:r>
      <w:r>
        <w:rPr>
          <w:lang w:val="zh_TW" w:bidi="zh_TW"/>
        </w:rPr>
        <w:t>24:17–21</w:t>
      </w:r>
      <w:r>
        <w:rPr>
          <w:lang w:val="zh_TW" w:bidi="zh_TW"/>
        </w:rPr>
        <w:t>；</w:t>
      </w:r>
      <w:r>
        <w:rPr>
          <w:lang w:val="zh_TW" w:bidi="zh_TW"/>
        </w:rPr>
        <w:t>徒3:22–23</w:t>
      </w:r>
      <w:r>
        <w:rPr>
          <w:lang w:val="zh_TW" w:bidi="zh_TW"/>
        </w:rPr>
        <w:t>，</w:t>
      </w:r>
      <w:r>
        <w:rPr>
          <w:lang w:val="zh_TW" w:bidi="zh_TW"/>
        </w:rPr>
        <w:t>7:37</w:t>
      </w:r>
      <w:r>
        <w:rPr>
          <w:lang w:val="zh_TW" w:bidi="zh_TW"/>
        </w:rPr>
        <w:t>、</w:t>
      </w:r>
      <w:r>
        <w:rPr>
          <w:lang w:val="zh_TW" w:bidi="zh_TW"/>
        </w:rPr>
        <w:t>52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