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(Themes)</w:t>
      </w:r>
      <w:r>
        <w:rPr>
          <w:lang w:val="zh_TW" w:bidi="zh_TW"/>
        </w:rPr>
      </w:r>
    </w:p>
    <w:p>
      <w:pPr/>
      <w:r>
        <w:rPr>
          <w:lang w:val="zh_TW" w:bidi="zh_TW"/>
        </w:rPr>
      </w:r>
      <w:r>
        <w:rPr>
          <w:b/>
          <w:lang w:val="zh_TW" w:bidi="zh_TW"/>
        </w:rPr>
        <w:t>Aquifer Open Study Notes (Themes)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wang</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王朝的應許</w:t>
      </w:r>
      <w:r>
        <w:rPr>
          <w:lang w:val="zh_TW" w:bidi="zh_TW"/>
        </w:rPr>
      </w:r>
    </w:p>
    <w:p>
      <w:pPr/>
      <w:r>
        <w:rPr>
          <w:lang w:val="zh_TW" w:bidi="zh_TW"/>
        </w:rPr>
      </w:r>
      <w:r>
        <w:rPr>
          <w:lang w:val="zh_TW" w:bidi="zh_TW"/>
        </w:rPr>
        <w:t>神應許大衛王，他的家族將永遠延續（</w:t>
      </w:r>
      <w:r>
        <w:rPr>
          <w:lang w:val="zh_TW" w:bidi="zh_TW"/>
        </w:rPr>
        <w:t>撒下7:11–16</w:t>
      </w:r>
      <w:r>
        <w:rPr>
          <w:lang w:val="zh_TW" w:bidi="zh_TW"/>
        </w:rPr>
        <w:t>和</w:t>
      </w:r>
      <w:r>
        <w:rPr>
          <w:lang w:val="zh_TW" w:bidi="zh_TW"/>
        </w:rPr>
        <w:t>代上17:9–14</w:t>
      </w:r>
      <w:r>
        <w:rPr>
          <w:lang w:val="zh_TW" w:bidi="zh_TW"/>
        </w:rPr>
        <w:t>的平行段落）。然而，歷代志的作者卻活在大衛家族似乎已經結束的時期。雖然大衛的後裔仍在，但自從猶大被擄到巴比倫起，超過一百五十年，也沒有後裔為王（見</w:t>
      </w:r>
      <w:r>
        <w:rPr>
          <w:lang w:val="zh_TW" w:bidi="zh_TW"/>
        </w:rPr>
        <w:t>代上3:1–24</w:t>
      </w:r>
      <w:r>
        <w:rPr>
          <w:lang w:val="zh_TW" w:bidi="zh_TW"/>
        </w:rPr>
        <w:t>）。這種情況引發了對以色列未來希望的疑慮。</w:t>
      </w:r>
    </w:p>
    <w:p>
      <w:pPr/>
      <w:r>
        <w:rPr>
          <w:lang w:val="zh_TW" w:bidi="zh_TW"/>
        </w:rPr>
      </w:r>
      <w:r>
        <w:rPr>
          <w:lang w:val="zh_TW" w:bidi="zh_TW"/>
        </w:rPr>
        <w:t>歷代志的作者旨在表明神對大衛無條件的應許，即他的王位確實是「永遠堅定」。即使可能被擄也未消除這個盼望，就是神應許的王室之家。這一應許將延續至未來，因為大衛將來的後裔將繼承王位（</w:t>
      </w:r>
      <w:r>
        <w:rPr>
          <w:lang w:val="zh_TW" w:bidi="zh_TW"/>
        </w:rPr>
        <w:t>代上17:11</w:t>
      </w:r>
      <w:r>
        <w:rPr>
          <w:lang w:val="zh_TW" w:bidi="zh_TW"/>
        </w:rPr>
        <w:t>）。</w:t>
      </w:r>
    </w:p>
    <w:p>
      <w:pPr/>
      <w:r>
        <w:rPr>
          <w:lang w:val="zh_TW" w:bidi="zh_TW"/>
        </w:rPr>
      </w:r>
      <w:r>
        <w:rPr>
          <w:lang w:val="zh_TW" w:bidi="zh_TW"/>
        </w:rPr>
        <w:t>歷代志的作者並未以其嚴格意義來直接描述彌賽亞。他主要的關注並不是神所揀選的拯救者即將到來。相反地，他希望大衛家族的君王能再次領導這個立約群體（與神有特殊協議的以色列人）。歷代志的作者鼓勵這個群體，期待一位能改善以色列情況的新王。</w:t>
      </w:r>
    </w:p>
    <w:p>
      <w:pPr/>
      <w:r>
        <w:rPr>
          <w:lang w:val="zh_TW" w:bidi="zh_TW"/>
        </w:rPr>
      </w:r>
      <w:r>
        <w:rPr>
          <w:lang w:val="zh_TW" w:bidi="zh_TW"/>
        </w:rPr>
        <w:t>耶穌的誕生、大衛的子孫，實現了歷代志作者對以色列的期盼。耶穌滿足了歷代志作者對新王的期待（見</w:t>
      </w:r>
      <w:r>
        <w:rPr>
          <w:lang w:val="zh_TW" w:bidi="zh_TW"/>
        </w:rPr>
        <w:t>太1:1–17</w:t>
      </w:r>
      <w:r>
        <w:rPr>
          <w:lang w:val="zh_TW" w:bidi="zh_TW"/>
        </w:rPr>
        <w:t>）。祂的國度包括所有國家（</w:t>
      </w:r>
      <w:r>
        <w:rPr>
          <w:lang w:val="zh_TW" w:bidi="zh_TW"/>
        </w:rPr>
        <w:t>賽49:6</w:t>
      </w:r>
      <w:r>
        <w:rPr>
          <w:lang w:val="zh_TW" w:bidi="zh_TW"/>
        </w:rPr>
        <w:t>）。它的延伸「從這海到那海，從大河到地極」（</w:t>
      </w:r>
      <w:r>
        <w:rPr>
          <w:lang w:val="zh_TW" w:bidi="zh_TW"/>
        </w:rPr>
        <w:t>亞9:10</w:t>
      </w:r>
      <w:r>
        <w:rPr>
          <w:lang w:val="zh_TW" w:bidi="zh_TW"/>
        </w:rPr>
        <w:t>）。</w:t>
      </w:r>
    </w:p>
    <w:p>
      <w:pPr/>
      <w:r>
        <w:rPr>
          <w:lang w:val="zh_TW" w:bidi="zh_TW"/>
        </w:rPr>
      </w:r>
      <w:r>
        <w:rPr>
          <w:u w:val="single"/>
          <w:lang w:val="zh_TW" w:bidi="zh_TW"/>
        </w:rPr>
        <w:t>進深研究的經文段落</w:t>
      </w:r>
    </w:p>
    <w:p>
      <w:pPr/>
      <w:r>
        <w:rPr>
          <w:lang w:val="zh_TW" w:bidi="zh_TW"/>
        </w:rPr>
      </w:r>
      <w:r>
        <w:rPr>
          <w:lang w:val="zh_TW" w:bidi="zh_TW"/>
        </w:rPr>
        <w:t>創49:8–12</w:t>
      </w:r>
      <w:r>
        <w:rPr>
          <w:lang w:val="zh_TW" w:bidi="zh_TW"/>
        </w:rPr>
        <w:t>；代上5:1–2</w:t>
      </w:r>
      <w:r>
        <w:rPr>
          <w:lang w:val="zh_TW" w:bidi="zh_TW"/>
        </w:rPr>
        <w:t>，</w:t>
      </w:r>
      <w:r>
        <w:rPr>
          <w:lang w:val="zh_TW" w:bidi="zh_TW"/>
        </w:rPr>
        <w:t>17:1–15</w:t>
      </w:r>
      <w:r>
        <w:rPr>
          <w:lang w:val="zh_TW" w:bidi="zh_TW"/>
        </w:rPr>
        <w:t>，</w:t>
      </w:r>
      <w:r>
        <w:rPr>
          <w:lang w:val="zh_TW" w:bidi="zh_TW"/>
        </w:rPr>
        <w:t>22:6–13</w:t>
      </w:r>
      <w:r>
        <w:rPr>
          <w:lang w:val="zh_TW" w:bidi="zh_TW"/>
        </w:rPr>
        <w:t>，</w:t>
      </w:r>
      <w:r>
        <w:rPr>
          <w:lang w:val="zh_TW" w:bidi="zh_TW"/>
        </w:rPr>
        <w:t>28:4–7</w:t>
      </w:r>
      <w:r>
        <w:rPr>
          <w:lang w:val="zh_TW" w:bidi="zh_TW"/>
        </w:rPr>
        <w:t>；</w:t>
      </w:r>
      <w:r>
        <w:rPr>
          <w:lang w:val="zh_TW" w:bidi="zh_TW"/>
        </w:rPr>
        <w:t>詩78:67–72</w:t>
      </w:r>
      <w:r>
        <w:rPr>
          <w:lang w:val="zh_TW" w:bidi="zh_TW"/>
        </w:rPr>
        <w:t>，</w:t>
      </w:r>
      <w:r>
        <w:rPr>
          <w:lang w:val="zh_TW" w:bidi="zh_TW"/>
        </w:rPr>
        <w:t>132:11–12</w:t>
      </w:r>
      <w:r>
        <w:rPr>
          <w:lang w:val="zh_TW" w:bidi="zh_TW"/>
        </w:rPr>
        <w:t>；</w:t>
      </w:r>
      <w:r>
        <w:rPr>
          <w:lang w:val="zh_TW" w:bidi="zh_TW"/>
        </w:rPr>
        <w:t>摩9:11–12；</w:t>
      </w:r>
      <w:r>
        <w:rPr>
          <w:lang w:val="zh_TW" w:bidi="zh_TW"/>
        </w:rPr>
        <w:t>太1:1–17</w:t>
      </w:r>
      <w:r>
        <w:rPr>
          <w:lang w:val="zh_TW" w:bidi="zh_TW"/>
        </w:rPr>
        <w:t>，</w:t>
      </w:r>
      <w:r>
        <w:rPr>
          <w:lang w:val="zh_TW" w:bidi="zh_TW"/>
        </w:rPr>
        <w:t>22:41–46</w:t>
      </w:r>
      <w:r>
        <w:rPr>
          <w:lang w:val="zh_TW" w:bidi="zh_TW"/>
        </w:rPr>
      </w:r>
      <w:r>
        <w:rPr>
          <w:lang w:val="zh_TW" w:bidi="zh_TW"/>
        </w:rPr>
      </w:r>
    </w:p>
    <w:p>
      <w:pPr/>
      <w:r>
        <w:rPr>
          <w:lang w:val="zh_TW" w:bidi="zh_TW"/>
        </w:rPr>
      </w:r>
    </w:p>
    <w:p>
      <w:pPr>
        <w:pStyle w:val="Heading2"/>
      </w:pPr>
      <w:r>
        <w:rPr>
          <w:lang w:val="zh_TW" w:bidi="zh_TW"/>
        </w:rPr>
        <w:t>王權</w:t>
      </w:r>
      <w:r>
        <w:rPr>
          <w:lang w:val="zh_TW" w:bidi="zh_TW"/>
        </w:rPr>
      </w:r>
    </w:p>
    <w:p>
      <w:pPr/>
      <w:r>
        <w:rPr>
          <w:lang w:val="zh_TW" w:bidi="zh_TW"/>
        </w:rPr>
      </w:r>
      <w:r>
        <w:rPr>
          <w:lang w:val="zh_TW" w:bidi="zh_TW"/>
        </w:rPr>
        <w:t>以色列人想要立一位王，「像列國一樣」。到了掃羅和大衛的時代，古代近東的王權制度已有近兩千年的歷史，尤其是在埃及和巴比倫帝國更是如此。即使是非利士、摩押、以東這些較小的國，其君王已有常設政府與軍隊。當時的人相信君王是由眾神所揀選，負責管理人間事務。君王或是為眾神治理，或是以神的身分治理。</w:t>
      </w:r>
    </w:p>
    <w:p>
      <w:pPr/>
      <w:r>
        <w:rPr>
          <w:lang w:val="zh_TW" w:bidi="zh_TW"/>
        </w:rPr>
      </w:r>
      <w:r>
        <w:rPr>
          <w:lang w:val="zh_TW" w:bidi="zh_TW"/>
        </w:rPr>
        <w:t>雖然先知撒母耳已經發出警告，但以色列人仍渴望與列國一樣，無視於擁有王權的長遠後果（</w:t>
      </w:r>
      <w:r>
        <w:rPr>
          <w:lang w:val="zh_TW" w:bidi="zh_TW"/>
        </w:rPr>
        <w:t>撒上8:10–18</w:t>
      </w:r>
      <w:r>
        <w:rPr>
          <w:lang w:val="zh_TW" w:bidi="zh_TW"/>
        </w:rPr>
        <w:t>）。經過數百年後，事實證明撒母耳的警告是正確的。惡王使神所揀選的百姓，落入外族的統治與被擄之中。然而，神仍使用君王制度成就祂的計劃，藉著大衛和他的家族興起彌賽亞（神所揀選的），建立永恆的國度（見</w:t>
      </w:r>
      <w:r>
        <w:rPr>
          <w:lang w:val="zh_TW" w:bidi="zh_TW"/>
        </w:rPr>
        <w:t>撒下7:8–16</w:t>
      </w:r>
      <w:r>
        <w:rPr>
          <w:lang w:val="zh_TW" w:bidi="zh_TW"/>
        </w:rPr>
        <w:t>；</w:t>
      </w:r>
      <w:r>
        <w:rPr>
          <w:lang w:val="zh_TW" w:bidi="zh_TW"/>
        </w:rPr>
        <w:t>太21:1–11</w:t>
      </w:r>
      <w:r>
        <w:rPr>
          <w:lang w:val="zh_TW" w:bidi="zh_TW"/>
        </w:rPr>
        <w:t>；</w:t>
      </w:r>
      <w:r>
        <w:rPr>
          <w:lang w:val="zh_TW" w:bidi="zh_TW"/>
        </w:rPr>
        <w:t>啟5:5，</w:t>
      </w:r>
      <w:r>
        <w:rPr>
          <w:lang w:val="zh_TW" w:bidi="zh_TW"/>
        </w:rPr>
        <w:t>11:15</w:t>
      </w:r>
      <w:r>
        <w:rPr>
          <w:lang w:val="zh_TW" w:bidi="zh_TW"/>
        </w:rPr>
        <w:t>）。</w:t>
      </w:r>
    </w:p>
    <w:p>
      <w:pPr/>
      <w:r>
        <w:rPr>
          <w:lang w:val="zh_TW" w:bidi="zh_TW"/>
        </w:rPr>
      </w:r>
      <w:r>
        <w:rPr>
          <w:u w:val="single"/>
          <w:lang w:val="zh_TW" w:bidi="zh_TW"/>
        </w:rPr>
        <w:t>進深研究的經文段落</w:t>
      </w:r>
    </w:p>
    <w:p>
      <w:pPr/>
      <w:r>
        <w:rPr>
          <w:lang w:val="zh_TW" w:bidi="zh_TW"/>
        </w:rPr>
      </w:r>
      <w:r>
        <w:rPr>
          <w:lang w:val="zh_TW" w:bidi="zh_TW"/>
        </w:rPr>
        <w:t>申17:14–20，</w:t>
      </w:r>
      <w:r>
        <w:rPr>
          <w:lang w:val="zh_TW" w:bidi="zh_TW"/>
        </w:rPr>
        <w:t>33:5</w:t>
      </w:r>
      <w:r>
        <w:rPr>
          <w:lang w:val="zh_TW" w:bidi="zh_TW"/>
        </w:rPr>
        <w:t>；</w:t>
      </w:r>
      <w:r>
        <w:rPr>
          <w:lang w:val="zh_TW" w:bidi="zh_TW"/>
        </w:rPr>
        <w:t>士17:6，</w:t>
      </w:r>
      <w:r>
        <w:rPr>
          <w:lang w:val="zh_TW" w:bidi="zh_TW"/>
        </w:rPr>
        <w:t>21:25</w:t>
      </w:r>
      <w:r>
        <w:rPr>
          <w:lang w:val="zh_TW" w:bidi="zh_TW"/>
        </w:rPr>
        <w:t>；</w:t>
      </w:r>
      <w:r>
        <w:rPr>
          <w:lang w:val="zh_TW" w:bidi="zh_TW"/>
        </w:rPr>
        <w:t>撒上8:5–22，</w:t>
      </w:r>
      <w:r>
        <w:rPr>
          <w:lang w:val="zh_TW" w:bidi="zh_TW"/>
        </w:rPr>
        <w:t>10:1</w:t>
      </w:r>
      <w:r>
        <w:rPr>
          <w:lang w:val="zh_TW" w:bidi="zh_TW"/>
        </w:rPr>
        <w:t>、</w:t>
      </w:r>
      <w:r>
        <w:rPr>
          <w:lang w:val="zh_TW" w:bidi="zh_TW"/>
        </w:rPr>
        <w:t>24–25</w:t>
      </w:r>
      <w:r>
        <w:rPr>
          <w:lang w:val="zh_TW" w:bidi="zh_TW"/>
        </w:rPr>
        <w:t>；</w:t>
      </w:r>
      <w:r>
        <w:rPr>
          <w:lang w:val="zh_TW" w:bidi="zh_TW"/>
        </w:rPr>
        <w:t>撒下7:8–16</w:t>
      </w:r>
      <w:r>
        <w:rPr>
          <w:lang w:val="zh_TW" w:bidi="zh_TW"/>
        </w:rPr>
        <w:t>；</w:t>
      </w:r>
      <w:r>
        <w:rPr>
          <w:lang w:val="zh_TW" w:bidi="zh_TW"/>
        </w:rPr>
        <w:t>詩89:35–37</w:t>
      </w:r>
      <w:r>
        <w:rPr>
          <w:lang w:val="zh_TW" w:bidi="zh_TW"/>
        </w:rPr>
        <w:t>；</w:t>
      </w:r>
      <w:r>
        <w:rPr>
          <w:lang w:val="zh_TW" w:bidi="zh_TW"/>
        </w:rPr>
        <w:t>傳8:2–5</w:t>
      </w:r>
      <w:r>
        <w:rPr>
          <w:lang w:val="zh_TW" w:bidi="zh_TW"/>
        </w:rPr>
        <w:t>；</w:t>
      </w:r>
      <w:r>
        <w:rPr>
          <w:lang w:val="zh_TW" w:bidi="zh_TW"/>
        </w:rPr>
        <w:t>賽33:22</w:t>
      </w:r>
      <w:r>
        <w:rPr>
          <w:lang w:val="zh_TW" w:bidi="zh_TW"/>
        </w:rPr>
        <w:t>；</w:t>
      </w:r>
      <w:r>
        <w:rPr>
          <w:lang w:val="zh_TW" w:bidi="zh_TW"/>
        </w:rPr>
        <w:t>太21:1–11，</w:t>
      </w:r>
      <w:r>
        <w:rPr>
          <w:lang w:val="zh_TW" w:bidi="zh_TW"/>
        </w:rPr>
        <w:t>22:42–46，</w:t>
      </w:r>
      <w:r>
        <w:rPr>
          <w:lang w:val="zh_TW" w:bidi="zh_TW"/>
        </w:rPr>
        <w:t>27:11</w:t>
      </w:r>
      <w:r>
        <w:rPr>
          <w:lang w:val="zh_TW" w:bidi="zh_TW"/>
        </w:rPr>
        <w:t>；</w:t>
      </w:r>
      <w:r>
        <w:rPr>
          <w:lang w:val="zh_TW" w:bidi="zh_TW"/>
        </w:rPr>
        <w:t>提前1:17</w:t>
      </w:r>
      <w:r>
        <w:rPr>
          <w:lang w:val="zh_TW" w:bidi="zh_TW"/>
        </w:rPr>
        <w:t>；</w:t>
      </w:r>
      <w:r>
        <w:rPr>
          <w:lang w:val="zh_TW" w:bidi="zh_TW"/>
        </w:rPr>
        <w:t>彼前2:13–14</w:t>
      </w:r>
      <w:r>
        <w:rPr>
          <w:lang w:val="zh_TW" w:bidi="zh_TW"/>
        </w:rPr>
        <w:t>；</w:t>
      </w:r>
      <w:r>
        <w:rPr>
          <w:lang w:val="zh_TW" w:bidi="zh_TW"/>
        </w:rPr>
        <w:t>啟5:5，</w:t>
      </w:r>
      <w:r>
        <w:rPr>
          <w:lang w:val="zh_TW" w:bidi="zh_TW"/>
        </w:rPr>
        <w:t>11:15，</w:t>
      </w:r>
      <w:r>
        <w:rPr>
          <w:lang w:val="zh_TW" w:bidi="zh_TW"/>
        </w:rPr>
        <w:t>15:3</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