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物質上的賞賜</w:t>
      </w:r>
      <w:r>
        <w:rPr>
          <w:lang w:val="zh_TW" w:bidi="zh_TW"/>
        </w:rPr>
      </w:r>
    </w:p>
    <w:p>
      <w:pPr/>
      <w:r>
        <w:rPr>
          <w:lang w:val="zh_TW" w:bidi="zh_TW"/>
        </w:rPr>
      </w:r>
      <w:r>
        <w:rPr>
          <w:lang w:val="zh_TW" w:bidi="zh_TW"/>
        </w:rPr>
        <w:t>在舊約時代，人們相信好人必然會變得富有。他們將箴言等智慧書的教導視為普遍規律。直到今日，仍有人抱著這種觀念。然而，這樣的信念容易帶來一些問題：當人未能成功時，容易產生罪咎感或責怪他人；而一旦成功，又可能因此驕傲怠惰。</w:t>
      </w:r>
    </w:p>
    <w:p>
      <w:pPr/>
      <w:r>
        <w:rPr>
          <w:lang w:val="zh_TW" w:bidi="zh_TW"/>
        </w:rPr>
      </w:r>
      <w:r>
        <w:rPr>
          <w:lang w:val="zh_TW" w:bidi="zh_TW"/>
        </w:rPr>
        <w:t>先祖約伯的受苦提供了明顯的例子。約伯的朋友持守傳統的神學觀點，認為約伯的遭遇是他有罪的證據（</w:t>
      </w:r>
      <w:r>
        <w:rPr>
          <w:lang w:val="zh_TW" w:bidi="zh_TW"/>
        </w:rPr>
        <w:t>19:5</w:t>
      </w:r>
      <w:r>
        <w:rPr>
          <w:lang w:val="zh_TW" w:bidi="zh_TW"/>
        </w:rPr>
        <w:t>），他們認定約伯的苦難是神對他罪惡的懲罰（</w:t>
      </w:r>
      <w:r>
        <w:rPr>
          <w:lang w:val="zh_TW" w:bidi="zh_TW"/>
        </w:rPr>
        <w:t>4:7–9</w:t>
      </w:r>
      <w:r>
        <w:rPr>
          <w:lang w:val="zh_TW" w:bidi="zh_TW"/>
        </w:rPr>
        <w:t>），甚至認為約伯所受的刑罰可能還不及他所該受的（</w:t>
      </w:r>
      <w:r>
        <w:rPr>
          <w:lang w:val="zh_TW" w:bidi="zh_TW"/>
        </w:rPr>
        <w:t>11:6</w:t>
      </w:r>
      <w:r>
        <w:rPr>
          <w:lang w:val="zh_TW" w:bidi="zh_TW"/>
        </w:rPr>
        <w:t>）。然而，神對約伯生命的評價，證明這種觀念是錯誤的（</w:t>
      </w:r>
      <w:r>
        <w:rPr>
          <w:lang w:val="zh_TW" w:bidi="zh_TW"/>
        </w:rPr>
        <w:t>42:7–8</w:t>
      </w:r>
      <w:r>
        <w:rPr>
          <w:lang w:val="zh_TW" w:bidi="zh_TW"/>
        </w:rPr>
        <w:t>）。神親自見證自己與約伯的特殊關係，並恢復了約伯作為僕人的好名聲。</w:t>
      </w:r>
    </w:p>
    <w:p>
      <w:pPr/>
      <w:r>
        <w:rPr>
          <w:lang w:val="zh_TW" w:bidi="zh_TW"/>
        </w:rPr>
      </w:r>
      <w:r>
        <w:rPr>
          <w:lang w:val="zh_TW" w:bidi="zh_TW"/>
        </w:rPr>
        <w:t>物質的富足與屬靈的祝福並不必然互相矛盾，但當我們將祝福等同於財富時，「世上的思慮、錢財的迷惑，和別樣的私慾」常常會使我們偏離真正的屬靈福分（</w:t>
      </w:r>
      <w:r>
        <w:rPr>
          <w:lang w:val="zh_TW" w:bidi="zh_TW"/>
        </w:rPr>
        <w:t>可4:19</w:t>
      </w:r>
      <w:r>
        <w:rPr>
          <w:lang w:val="zh_TW" w:bidi="zh_TW"/>
        </w:rPr>
        <w:t>；另見</w:t>
      </w:r>
      <w:r>
        <w:rPr>
          <w:lang w:val="zh_TW" w:bidi="zh_TW"/>
        </w:rPr>
        <w:t>路6:25</w:t>
      </w:r>
      <w:r>
        <w:rPr>
          <w:lang w:val="zh_TW" w:bidi="zh_TW"/>
        </w:rPr>
        <w:t>）。人容易因此變得貪婪、嫉妒、好色，甚至將自我價值建立在自己所擁有的東西上（即使這些東西還欠債未還）。這種觀念並非出自基督信仰，而是世俗的思考（</w:t>
      </w:r>
      <w:r>
        <w:rPr>
          <w:lang w:val="zh_TW" w:bidi="zh_TW"/>
        </w:rPr>
        <w:t>約一2:15–17</w:t>
      </w:r>
      <w:r>
        <w:rPr>
          <w:lang w:val="zh_TW" w:bidi="zh_TW"/>
        </w:rPr>
        <w:t>）。</w:t>
      </w:r>
    </w:p>
    <w:p>
      <w:pPr/>
      <w:r>
        <w:rPr>
          <w:lang w:val="zh_TW" w:bidi="zh_TW"/>
        </w:rPr>
      </w:r>
      <w:r>
        <w:rPr>
          <w:lang w:val="zh_TW" w:bidi="zh_TW"/>
        </w:rPr>
        <w:t>約伯在痛苦中，從抱怨轉向謙卑，承認神公義的權能（</w:t>
      </w:r>
      <w:r>
        <w:rPr>
          <w:lang w:val="zh_TW" w:bidi="zh_TW"/>
        </w:rPr>
        <w:t>伯40:4–5，</w:t>
      </w:r>
      <w:r>
        <w:rPr>
          <w:lang w:val="zh_TW" w:bidi="zh_TW"/>
        </w:rPr>
        <w:t>42:2–6</w:t>
      </w:r>
      <w:r>
        <w:rPr>
          <w:lang w:val="zh_TW" w:bidi="zh_TW"/>
        </w:rPr>
        <w:t>）。同樣地，我們也可以把苦難視為靈命成長的契機（</w:t>
      </w:r>
      <w:r>
        <w:rPr>
          <w:lang w:val="zh_TW" w:bidi="zh_TW"/>
        </w:rPr>
        <w:t>雅1:2–4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創13:2；</w:t>
      </w:r>
      <w:r>
        <w:rPr>
          <w:lang w:val="zh_TW" w:bidi="zh_TW"/>
        </w:rPr>
        <w:t>王上10:23；</w:t>
      </w:r>
      <w:r>
        <w:rPr>
          <w:lang w:val="zh_TW" w:bidi="zh_TW"/>
        </w:rPr>
        <w:t>伯4:7–9，</w:t>
      </w:r>
      <w:r>
        <w:rPr>
          <w:lang w:val="zh_TW" w:bidi="zh_TW"/>
        </w:rPr>
        <w:t>11:6，</w:t>
      </w:r>
      <w:r>
        <w:rPr>
          <w:lang w:val="zh_TW" w:bidi="zh_TW"/>
        </w:rPr>
        <w:t>19:5；</w:t>
      </w:r>
      <w:r>
        <w:rPr>
          <w:lang w:val="zh_TW" w:bidi="zh_TW"/>
        </w:rPr>
        <w:t>詩49:16–20</w:t>
      </w:r>
      <w:r>
        <w:rPr>
          <w:lang w:val="zh_TW" w:bidi="zh_TW"/>
        </w:rPr>
        <w:t>，</w:t>
      </w:r>
      <w:r>
        <w:rPr>
          <w:lang w:val="zh_TW" w:bidi="zh_TW"/>
        </w:rPr>
        <w:t>73:1–28；</w:t>
      </w:r>
      <w:r>
        <w:rPr>
          <w:lang w:val="zh_TW" w:bidi="zh_TW"/>
        </w:rPr>
        <w:t>箴14:20</w:t>
      </w:r>
      <w:r>
        <w:rPr>
          <w:lang w:val="zh_TW" w:bidi="zh_TW"/>
        </w:rPr>
        <w:t>，</w:t>
      </w:r>
      <w:r>
        <w:rPr>
          <w:lang w:val="zh_TW" w:bidi="zh_TW"/>
        </w:rPr>
        <w:t>18:11</w:t>
      </w:r>
      <w:r>
        <w:rPr>
          <w:lang w:val="zh_TW" w:bidi="zh_TW"/>
        </w:rPr>
        <w:t>，</w:t>
      </w:r>
      <w:r>
        <w:rPr>
          <w:lang w:val="zh_TW" w:bidi="zh_TW"/>
        </w:rPr>
        <w:t>28:11；</w:t>
      </w:r>
      <w:r>
        <w:rPr>
          <w:lang w:val="zh_TW" w:bidi="zh_TW"/>
        </w:rPr>
        <w:t>傳5:10–20；</w:t>
      </w:r>
      <w:r>
        <w:rPr>
          <w:lang w:val="zh_TW" w:bidi="zh_TW"/>
        </w:rPr>
        <w:t>耶17:11；</w:t>
      </w:r>
      <w:r>
        <w:rPr>
          <w:lang w:val="zh_TW" w:bidi="zh_TW"/>
        </w:rPr>
        <w:t>番1:18；</w:t>
      </w:r>
      <w:r>
        <w:rPr>
          <w:lang w:val="zh_TW" w:bidi="zh_TW"/>
        </w:rPr>
        <w:t>太27:57；</w:t>
      </w:r>
      <w:r>
        <w:rPr>
          <w:lang w:val="zh_TW" w:bidi="zh_TW"/>
        </w:rPr>
        <w:t>可4:19</w:t>
      </w:r>
      <w:r>
        <w:rPr>
          <w:lang w:val="zh_TW" w:bidi="zh_TW"/>
        </w:rPr>
        <w:t>、</w:t>
      </w:r>
      <w:r>
        <w:rPr>
          <w:lang w:val="zh_TW" w:bidi="zh_TW"/>
        </w:rPr>
        <w:t>10:17–25；</w:t>
      </w:r>
      <w:r>
        <w:rPr>
          <w:lang w:val="zh_TW" w:bidi="zh_TW"/>
        </w:rPr>
        <w:t>路6:24–25</w:t>
      </w:r>
      <w:r>
        <w:rPr>
          <w:lang w:val="zh_TW" w:bidi="zh_TW"/>
        </w:rPr>
        <w:t>，</w:t>
      </w:r>
      <w:r>
        <w:rPr>
          <w:lang w:val="zh_TW" w:bidi="zh_TW"/>
        </w:rPr>
        <w:t>16:10–31；</w:t>
      </w:r>
      <w:r>
        <w:rPr>
          <w:lang w:val="zh_TW" w:bidi="zh_TW"/>
        </w:rPr>
        <w:t>提前6:17；</w:t>
      </w:r>
      <w:r>
        <w:rPr>
          <w:lang w:val="zh_TW" w:bidi="zh_TW"/>
        </w:rPr>
        <w:t>雅1:2–4</w:t>
      </w:r>
      <w:r>
        <w:rPr>
          <w:lang w:val="zh_TW" w:bidi="zh_TW"/>
        </w:rPr>
        <w:t>、</w:t>
      </w:r>
      <w:r>
        <w:rPr>
          <w:lang w:val="zh_TW" w:bidi="zh_TW"/>
        </w:rPr>
        <w:t>9</w:t>
      </w:r>
      <w:r>
        <w:rPr>
          <w:lang w:val="zh_TW" w:bidi="zh_TW"/>
        </w:rPr>
        <w:t>，</w:t>
      </w:r>
      <w:r>
        <w:rPr>
          <w:lang w:val="zh_TW" w:bidi="zh_TW"/>
        </w:rPr>
        <w:t>5:1；</w:t>
      </w:r>
      <w:r>
        <w:rPr>
          <w:lang w:val="zh_TW" w:bidi="zh_TW"/>
        </w:rPr>
        <w:t>約一2:16；</w:t>
      </w:r>
      <w:r>
        <w:rPr>
          <w:lang w:val="zh_TW" w:bidi="zh_TW"/>
        </w:rPr>
        <w:t>約三1:2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