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(Themes)</w:t>
      </w:r>
      <w:r>
        <w:rPr>
          <w:lang w:val="zh_TW" w:bidi="zh_TW"/>
        </w:rPr>
      </w:r>
    </w:p>
    <w:p>
      <w:pPr/>
      <w:r>
        <w:rPr>
          <w:lang w:val="zh_TW" w:bidi="zh_TW"/>
        </w:rPr>
      </w:r>
      <w:r>
        <w:rPr>
          <w:b/>
          <w:lang w:val="zh_TW" w:bidi="zh_TW"/>
        </w:rPr>
        <w:t>Aquifer Open Study Notes (Themes)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xian</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先知性的象徵行動</w:t>
      </w:r>
      <w:r>
        <w:rPr>
          <w:lang w:val="zh_TW" w:bidi="zh_TW"/>
        </w:rPr>
      </w:r>
    </w:p>
    <w:p>
      <w:pPr/>
      <w:r>
        <w:rPr>
          <w:lang w:val="zh_TW" w:bidi="zh_TW"/>
        </w:rPr>
      </w:r>
      <w:r>
        <w:rPr>
          <w:lang w:val="zh_TW" w:bidi="zh_TW"/>
        </w:rPr>
        <w:t>以色列的先知有時會透過象徵性行動（sign acts）來傳遞信息，這些行動通常是公開的戲劇性舉動，目的是強化他們的信息。這種視覺呈現方式，不僅讓人</w:t>
      </w:r>
      <w:r>
        <w:rPr>
          <w:b/>
          <w:lang w:val="zh_TW" w:bidi="zh_TW"/>
        </w:rPr>
        <w:t>聽見</w:t>
      </w:r>
      <w:r>
        <w:rPr>
          <w:lang w:val="zh_TW" w:bidi="zh_TW"/>
        </w:rPr>
        <w:t>真理，也使人深深</w:t>
      </w:r>
      <w:r>
        <w:rPr>
          <w:b/>
          <w:lang w:val="zh_TW" w:bidi="zh_TW"/>
        </w:rPr>
        <w:t>感受到</w:t>
      </w:r>
      <w:r>
        <w:rPr>
          <w:lang w:val="zh_TW" w:bidi="zh_TW"/>
        </w:rPr>
        <w:t>信息的意義。這些行動的目的， 是讓人無法忘記其中的信息。</w:t>
      </w:r>
    </w:p>
    <w:p>
      <w:pPr/>
      <w:r>
        <w:rPr>
          <w:lang w:val="zh_TW" w:bidi="zh_TW"/>
        </w:rPr>
      </w:r>
      <w:r>
        <w:rPr>
          <w:lang w:val="zh_TW" w:bidi="zh_TW"/>
        </w:rPr>
        <w:t>這些行動常被視為異常甚至怪異，不僅今天如此，在古代也是一樣。不過，有別於現代人的理解（可能認為先知患有精神問題），古代人明白，這是先知傳遞信息的常見方式。</w:t>
      </w:r>
    </w:p>
    <w:p>
      <w:pPr/>
      <w:r>
        <w:rPr>
          <w:lang w:val="zh_TW" w:bidi="zh_TW"/>
        </w:rPr>
      </w:r>
      <w:r>
        <w:rPr>
          <w:lang w:val="zh_TW" w:bidi="zh_TW"/>
        </w:rPr>
        <w:t>先知以西結比其他先知，更常透過象徵性行動來傳達神的信息，可能因為他的對象極其頑梗（</w:t>
      </w:r>
      <w:r>
        <w:rPr>
          <w:lang w:val="zh_TW" w:bidi="zh_TW"/>
        </w:rPr>
        <w:t>結2:6–7</w:t>
      </w:r>
      <w:r>
        <w:rPr>
          <w:lang w:val="zh_TW" w:bidi="zh_TW"/>
        </w:rPr>
        <w:t>）。他的行動強調這些信息，也表明他深深委身於神的呼召。例如，他吃下神的話語（</w:t>
      </w:r>
      <w:r>
        <w:rPr>
          <w:lang w:val="zh_TW" w:bidi="zh_TW"/>
        </w:rPr>
        <w:t>結2:8–3:3</w:t>
      </w:r>
      <w:r>
        <w:rPr>
          <w:lang w:val="zh_TW" w:bidi="zh_TW"/>
        </w:rPr>
        <w:t>），之後又以一系列象徵性的審判場景，向被擄的以色列人傳達神的信息（</w:t>
      </w:r>
      <w:r>
        <w:rPr>
          <w:lang w:val="zh_TW" w:bidi="zh_TW"/>
        </w:rPr>
        <w:t>結3:4–9</w:t>
      </w:r>
      <w:r>
        <w:rPr>
          <w:lang w:val="zh_TW" w:bidi="zh_TW"/>
        </w:rPr>
        <w:t>；另見</w:t>
      </w:r>
      <w:r>
        <w:rPr>
          <w:lang w:val="zh_TW" w:bidi="zh_TW"/>
        </w:rPr>
        <w:t>4–6</w:t>
      </w:r>
      <w:r>
        <w:rPr>
          <w:lang w:val="zh_TW" w:bidi="zh_TW"/>
        </w:rPr>
        <w:t>章）。這種戲劇化的表達方式，對於頑梗甚至滿懷敵意的聽眾來說，也是難以忽視或遺忘的。</w:t>
      </w:r>
    </w:p>
    <w:p>
      <w:pPr/>
      <w:r>
        <w:rPr>
          <w:lang w:val="zh_TW" w:bidi="zh_TW"/>
        </w:rPr>
      </w:r>
      <w:r>
        <w:rPr>
          <w:lang w:val="zh_TW" w:bidi="zh_TW"/>
        </w:rPr>
        <w:t>耶穌基督在十字架上完成了最終的象徵性行動（見</w:t>
      </w:r>
      <w:r>
        <w:rPr>
          <w:lang w:val="zh_TW" w:bidi="zh_TW"/>
        </w:rPr>
        <w:t>太27:32–54</w:t>
      </w:r>
      <w:r>
        <w:rPr>
          <w:lang w:val="zh_TW" w:bidi="zh_TW"/>
        </w:rPr>
        <w:t>）。神在當時藉著黑暗、地震，以及祂無罪兒子的苦難——聖子看似被聖父離棄，向世人彰顯祂對罪的審判。同時，祂寧願捨己，也不願失去衪的子民，這顯明祂對世人深切的愛。十字架的信息同時彰顯神的審判與愛，它充滿震撼與力量，使人無法忽視。</w:t>
      </w:r>
    </w:p>
    <w:p>
      <w:pPr/>
      <w:r>
        <w:rPr>
          <w:lang w:val="zh_TW" w:bidi="zh_TW"/>
        </w:rPr>
      </w:r>
      <w:r>
        <w:rPr>
          <w:u w:val="single"/>
          <w:lang w:val="zh_TW" w:bidi="zh_TW"/>
        </w:rPr>
        <w:t>進深研究的經文段落</w:t>
      </w:r>
    </w:p>
    <w:p>
      <w:pPr/>
      <w:r>
        <w:rPr>
          <w:lang w:val="zh_TW" w:bidi="zh_TW"/>
        </w:rPr>
      </w:r>
      <w:r>
        <w:rPr>
          <w:lang w:val="zh_TW" w:bidi="zh_TW"/>
        </w:rPr>
        <w:t>耶13:1–11</w:t>
      </w:r>
      <w:r>
        <w:rPr>
          <w:lang w:val="zh_TW" w:bidi="zh_TW"/>
        </w:rPr>
        <w:t>，</w:t>
      </w:r>
      <w:r>
        <w:rPr>
          <w:lang w:val="zh_TW" w:bidi="zh_TW"/>
        </w:rPr>
        <w:t>19:1–15</w:t>
      </w:r>
      <w:r>
        <w:rPr>
          <w:lang w:val="zh_TW" w:bidi="zh_TW"/>
        </w:rPr>
        <w:t>，</w:t>
      </w:r>
      <w:r>
        <w:rPr>
          <w:lang w:val="zh_TW" w:bidi="zh_TW"/>
        </w:rPr>
        <w:t>25:15</w:t>
      </w:r>
      <w:r>
        <w:rPr>
          <w:lang w:val="zh_TW" w:bidi="zh_TW"/>
        </w:rPr>
        <w:t>；</w:t>
      </w:r>
      <w:r>
        <w:rPr>
          <w:lang w:val="zh_TW" w:bidi="zh_TW"/>
        </w:rPr>
        <w:t>結2:6–3:3</w:t>
      </w:r>
      <w:r>
        <w:rPr>
          <w:lang w:val="zh_TW" w:bidi="zh_TW"/>
        </w:rPr>
        <w:t>，</w:t>
      </w:r>
      <w:r>
        <w:rPr>
          <w:lang w:val="zh_TW" w:bidi="zh_TW"/>
        </w:rPr>
        <w:t>3:4–9</w:t>
      </w:r>
      <w:r>
        <w:rPr>
          <w:lang w:val="zh_TW" w:bidi="zh_TW"/>
        </w:rPr>
        <w:t>，</w:t>
      </w:r>
      <w:r>
        <w:rPr>
          <w:lang w:val="zh_TW" w:bidi="zh_TW"/>
        </w:rPr>
        <w:t>4:1–17</w:t>
      </w:r>
      <w:r>
        <w:rPr>
          <w:lang w:val="zh_TW" w:bidi="zh_TW"/>
        </w:rPr>
        <w:t>，</w:t>
      </w:r>
      <w:r>
        <w:rPr>
          <w:lang w:val="zh_TW" w:bidi="zh_TW"/>
        </w:rPr>
        <w:t>5:1–6:14</w:t>
      </w:r>
      <w:r>
        <w:rPr>
          <w:lang w:val="zh_TW" w:bidi="zh_TW"/>
        </w:rPr>
        <w:t>，</w:t>
      </w:r>
      <w:r>
        <w:rPr>
          <w:lang w:val="zh_TW" w:bidi="zh_TW"/>
        </w:rPr>
        <w:t>12:1–28</w:t>
      </w:r>
      <w:r>
        <w:rPr>
          <w:lang w:val="zh_TW" w:bidi="zh_TW"/>
        </w:rPr>
        <w:t>，</w:t>
      </w:r>
      <w:r>
        <w:rPr>
          <w:lang w:val="zh_TW" w:bidi="zh_TW"/>
        </w:rPr>
        <w:t>21:19–23</w:t>
      </w:r>
      <w:r>
        <w:rPr>
          <w:lang w:val="zh_TW" w:bidi="zh_TW"/>
        </w:rPr>
        <w:t>，</w:t>
      </w:r>
      <w:r>
        <w:rPr>
          <w:lang w:val="zh_TW" w:bidi="zh_TW"/>
        </w:rPr>
        <w:t>24:1–14</w:t>
      </w:r>
      <w:r>
        <w:rPr>
          <w:lang w:val="zh_TW" w:bidi="zh_TW"/>
        </w:rPr>
        <w:t>、</w:t>
      </w:r>
      <w:r>
        <w:rPr>
          <w:lang w:val="zh_TW" w:bidi="zh_TW"/>
        </w:rPr>
        <w:t>16–27</w:t>
      </w:r>
      <w:r>
        <w:rPr>
          <w:lang w:val="zh_TW" w:bidi="zh_TW"/>
        </w:rPr>
        <w:t>，</w:t>
      </w:r>
      <w:r>
        <w:rPr>
          <w:lang w:val="zh_TW" w:bidi="zh_TW"/>
        </w:rPr>
        <w:t>37:15–28</w:t>
      </w:r>
      <w:r>
        <w:rPr>
          <w:lang w:val="zh_TW" w:bidi="zh_TW"/>
        </w:rPr>
        <w:t>；</w:t>
      </w:r>
      <w:r>
        <w:rPr>
          <w:lang w:val="zh_TW" w:bidi="zh_TW"/>
        </w:rPr>
        <w:t>何1:2–9</w:t>
      </w:r>
      <w:r>
        <w:rPr>
          <w:lang w:val="zh_TW" w:bidi="zh_TW"/>
        </w:rPr>
        <w:t>，</w:t>
      </w:r>
      <w:r>
        <w:rPr>
          <w:lang w:val="zh_TW" w:bidi="zh_TW"/>
        </w:rPr>
        <w:t>3:1–3</w:t>
      </w:r>
      <w:r>
        <w:rPr>
          <w:lang w:val="zh_TW" w:bidi="zh_TW"/>
        </w:rPr>
        <w:t>；</w:t>
      </w:r>
      <w:r>
        <w:rPr>
          <w:lang w:val="zh_TW" w:bidi="zh_TW"/>
        </w:rPr>
        <w:t>太26:26–28</w:t>
      </w:r>
      <w:r>
        <w:rPr>
          <w:lang w:val="zh_TW" w:bidi="zh_TW"/>
        </w:rPr>
        <w:t>，</w:t>
      </w:r>
      <w:r>
        <w:rPr>
          <w:lang w:val="zh_TW" w:bidi="zh_TW"/>
        </w:rPr>
        <w:t>27:45–54</w:t>
      </w:r>
      <w:r>
        <w:rPr>
          <w:lang w:val="zh_TW" w:bidi="zh_TW"/>
        </w:rPr>
        <w:t>；</w:t>
      </w:r>
      <w:r>
        <w:rPr>
          <w:lang w:val="zh_TW" w:bidi="zh_TW"/>
        </w:rPr>
        <w:t>可6:11</w:t>
      </w:r>
      <w:r>
        <w:rPr>
          <w:lang w:val="zh_TW" w:bidi="zh_TW"/>
        </w:rPr>
        <w:t>，</w:t>
      </w:r>
      <w:r>
        <w:rPr>
          <w:lang w:val="zh_TW" w:bidi="zh_TW"/>
        </w:rPr>
        <w:t>11:12–21</w:t>
      </w:r>
      <w:r>
        <w:rPr>
          <w:lang w:val="zh_TW" w:bidi="zh_TW"/>
        </w:rPr>
        <w:t>；</w:t>
      </w:r>
      <w:r>
        <w:rPr>
          <w:lang w:val="zh_TW" w:bidi="zh_TW"/>
        </w:rPr>
        <w:t>路22:17–20</w:t>
      </w:r>
      <w:r>
        <w:rPr>
          <w:lang w:val="zh_TW" w:bidi="zh_TW"/>
        </w:rPr>
        <w:t>；</w:t>
      </w:r>
      <w:r>
        <w:rPr>
          <w:lang w:val="zh_TW" w:bidi="zh_TW"/>
        </w:rPr>
        <w:t>羅6:3–5</w:t>
      </w:r>
      <w:r>
        <w:rPr>
          <w:lang w:val="zh_TW" w:bidi="zh_TW"/>
        </w:rPr>
        <w:t>；</w:t>
      </w:r>
      <w:r>
        <w:rPr>
          <w:lang w:val="zh_TW" w:bidi="zh_TW"/>
        </w:rPr>
        <w:t>林前10:16–17</w:t>
      </w:r>
      <w:r>
        <w:rPr>
          <w:lang w:val="zh_TW" w:bidi="zh_TW"/>
        </w:rPr>
        <w:t>，</w:t>
      </w:r>
      <w:r>
        <w:rPr>
          <w:lang w:val="zh_TW" w:bidi="zh_TW"/>
        </w:rPr>
        <w:t>11:23–32</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