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xie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褻瀆</w:t>
      </w:r>
      <w:r>
        <w:rPr>
          <w:lang w:val="zh_TW" w:bidi="zh_TW"/>
        </w:rPr>
      </w:r>
    </w:p>
    <w:p>
      <w:pPr/>
      <w:r>
        <w:rPr>
          <w:lang w:val="zh_TW" w:bidi="zh_TW"/>
        </w:rPr>
      </w:r>
      <w:r>
        <w:rPr>
          <w:lang w:val="zh_TW" w:bidi="zh_TW"/>
        </w:rPr>
        <w:t>褻瀆是指對聖潔或分別為聖的事物不敬、損害或濫用的行為。早自伊甸園時期，人類就已試圖將神分別為聖之處或物，據為己有（</w:t>
      </w:r>
      <w:r>
        <w:rPr>
          <w:lang w:val="zh_TW" w:bidi="zh_TW"/>
        </w:rPr>
        <w:t>創2:15–17</w:t>
      </w:r>
      <w:r>
        <w:rPr>
          <w:lang w:val="zh_TW" w:bidi="zh_TW"/>
        </w:rPr>
        <w:t>，</w:t>
      </w:r>
      <w:r>
        <w:rPr>
          <w:lang w:val="zh_TW" w:bidi="zh_TW"/>
        </w:rPr>
        <w:t>3:1–6</w:t>
      </w:r>
      <w:r>
        <w:rPr>
          <w:lang w:val="zh_TW" w:bidi="zh_TW"/>
        </w:rPr>
        <w:t>）。</w:t>
      </w:r>
    </w:p>
    <w:p>
      <w:pPr/>
      <w:r>
        <w:rPr>
          <w:lang w:val="zh_TW" w:bidi="zh_TW"/>
        </w:rPr>
      </w:r>
      <w:r>
        <w:rPr>
          <w:lang w:val="zh_TW" w:bidi="zh_TW"/>
        </w:rPr>
        <w:t>當人不尊重衪的聖令時，《聖經》顯示神發怒並降下立即的懲罰。神召拿答與亞比戶帶領以色列以正確方式來進行敬拜。但當他們忽視神對祭司職責的明確指示時，他們即刻因自己的罪而死（</w:t>
      </w:r>
      <w:r>
        <w:rPr>
          <w:lang w:val="zh_TW" w:bidi="zh_TW"/>
        </w:rPr>
        <w:t>利10:1–20</w:t>
      </w:r>
      <w:r>
        <w:rPr>
          <w:lang w:val="zh_TW" w:bidi="zh_TW"/>
        </w:rPr>
        <w:t>）。當耶穌帶著鞭子進入聖殿時，衪彰顯了神公義的忿怒，衪驅逐了那些為了利益而污穢聖殿的商人以及兌換銀錢的人（</w:t>
      </w:r>
      <w:r>
        <w:rPr>
          <w:lang w:val="zh_TW" w:bidi="zh_TW"/>
        </w:rPr>
        <w:t>約2:13–16</w:t>
      </w:r>
      <w:r>
        <w:rPr>
          <w:lang w:val="zh_TW" w:bidi="zh_TW"/>
        </w:rPr>
        <w:t>）。</w:t>
      </w:r>
    </w:p>
    <w:p>
      <w:pPr/>
      <w:r>
        <w:rPr>
          <w:lang w:val="zh_TW" w:bidi="zh_TW"/>
        </w:rPr>
      </w:r>
      <w:r>
        <w:rPr>
          <w:lang w:val="zh_TW" w:bidi="zh_TW"/>
        </w:rPr>
        <w:t>包括耶路撒冷的聖殿在內，沒有人可以褻瀆神的神聖同在。聖殿代表神在世上的居所，因此所有在聖殿的儀式都必須彰顯其神聖的地位，只有那些受膏單此重任的人才能進入獻祭。</w:t>
      </w:r>
    </w:p>
    <w:p>
      <w:pPr/>
      <w:r>
        <w:rPr>
          <w:lang w:val="zh_TW" w:bidi="zh_TW"/>
        </w:rPr>
      </w:r>
      <w:r>
        <w:rPr>
          <w:lang w:val="zh_TW" w:bidi="zh_TW"/>
        </w:rPr>
        <w:t>烏西雅王犯了一個嚴重的錯誤，他「進耶和華的殿，要在香壇上燒香」（</w:t>
      </w:r>
      <w:r>
        <w:rPr>
          <w:lang w:val="zh_TW" w:bidi="zh_TW"/>
        </w:rPr>
        <w:t>代下26:16</w:t>
      </w:r>
      <w:r>
        <w:rPr>
          <w:lang w:val="zh_TW" w:bidi="zh_TW"/>
        </w:rPr>
        <w:t>）。與其他古代近東文化的君王不同，以色列的君王不能進入聖所。神膏抹他們僅僅是為了行政職責。以色列的君王不是祭司，也不能在聖職中代表神。他不是神，這是與其他文化不同的地方。</w:t>
      </w:r>
    </w:p>
    <w:p>
      <w:pPr/>
      <w:r>
        <w:rPr>
          <w:lang w:val="zh_TW" w:bidi="zh_TW"/>
        </w:rPr>
      </w:r>
      <w:r>
        <w:rPr>
          <w:lang w:val="zh_TW" w:bidi="zh_TW"/>
        </w:rPr>
        <w:t>他是從神的子民中被揀選出來的神的僕人，為要「謹守遵行」社群中的聖約（</w:t>
      </w:r>
      <w:r>
        <w:rPr>
          <w:lang w:val="zh_TW" w:bidi="zh_TW"/>
        </w:rPr>
        <w:t>申17:18–20</w:t>
      </w:r>
      <w:r>
        <w:rPr>
          <w:lang w:val="zh_TW" w:bidi="zh_TW"/>
        </w:rPr>
        <w:t>）。當烏西雅王試圖擔任不屬於他的祭司角色時，他褻瀆了神分別為聖做為祂神聖同在的聖所。這種與聖殿功用有關的褻瀆是個嚴重問題。</w:t>
      </w:r>
    </w:p>
    <w:p>
      <w:pPr/>
      <w:r>
        <w:rPr>
          <w:lang w:val="zh_TW" w:bidi="zh_TW"/>
        </w:rPr>
      </w:r>
      <w:r>
        <w:rPr>
          <w:lang w:val="zh_TW" w:bidi="zh_TW"/>
        </w:rPr>
        <w:t>與烏西雅的驕傲相比，大衛王顯為謙卑（</w:t>
      </w:r>
      <w:r>
        <w:rPr>
          <w:lang w:val="zh_TW" w:bidi="zh_TW"/>
        </w:rPr>
        <w:t>撒上21:1–9</w:t>
      </w:r>
      <w:r>
        <w:rPr>
          <w:lang w:val="zh_TW" w:bidi="zh_TW"/>
        </w:rPr>
        <w:t>）。當他的部下飢餓時，大衛知道會幕裡有陳設餅。他沒有擅自拿取，而是向祭司請求，祭司在祝福下將分別為聖的餅給了他們。</w:t>
      </w:r>
    </w:p>
    <w:p>
      <w:pPr/>
      <w:r>
        <w:rPr>
          <w:lang w:val="zh_TW" w:bidi="zh_TW"/>
        </w:rPr>
      </w:r>
      <w:r>
        <w:rPr>
          <w:lang w:val="zh_TW" w:bidi="zh_TW"/>
        </w:rPr>
        <w:t>相反地，烏西雅進入了聖殿，對這個聖所毫無尊重（</w:t>
      </w:r>
      <w:r>
        <w:rPr>
          <w:lang w:val="zh_TW" w:bidi="zh_TW"/>
        </w:rPr>
        <w:t>26:16</w:t>
      </w:r>
      <w:r>
        <w:rPr>
          <w:lang w:val="zh_TW" w:bidi="zh_TW"/>
        </w:rPr>
        <w:t>）。他認為作為君王，他可以進入神的聖殿。然而，他並沒有這個權利。神以皮膚病懲罰他，使他因此被隔離而無法過日常的生活。這個懲罰與他驕傲的行為相稱。</w:t>
      </w:r>
    </w:p>
    <w:p>
      <w:pPr/>
      <w:r>
        <w:rPr>
          <w:lang w:val="zh_TW" w:bidi="zh_TW"/>
        </w:rPr>
      </w:r>
      <w:r>
        <w:rPr>
          <w:lang w:val="zh_TW" w:bidi="zh_TW"/>
        </w:rPr>
        <w:t>像烏西雅那樣對聖物不敬的誘惑一直都存在。任何不尊崇神的行動，都是對祂聖所的不敬。人類歷史是關乎神將天地恢復為祂居所的演進。</w:t>
      </w:r>
    </w:p>
    <w:p>
      <w:pPr/>
      <w:r>
        <w:rPr>
          <w:lang w:val="zh_TW" w:bidi="zh_TW"/>
        </w:rPr>
      </w:r>
      <w:r>
        <w:rPr>
          <w:lang w:val="zh_TW" w:bidi="zh_TW"/>
        </w:rPr>
        <w:t>在新約中，通過耶穌基督，神的聖所不再僅限於耶路撒冷的聖殿或任何建築物。衪將那些信靠衪之人的生命分別出來（</w:t>
      </w:r>
      <w:r>
        <w:rPr>
          <w:lang w:val="zh_TW" w:bidi="zh_TW"/>
        </w:rPr>
        <w:t>林前6:19–20</w:t>
      </w:r>
      <w:r>
        <w:rPr>
          <w:lang w:val="zh_TW" w:bidi="zh_TW"/>
        </w:rPr>
        <w:t>）。藉著衪的恩典，神使新約的子民成為祂在地上的聖殿（</w:t>
      </w:r>
      <w:r>
        <w:rPr>
          <w:lang w:val="zh_TW" w:bidi="zh_TW"/>
        </w:rPr>
        <w:t>彼前2:4–5</w:t>
      </w:r>
      <w:r>
        <w:rPr>
          <w:lang w:val="zh_TW" w:bidi="zh_TW"/>
        </w:rPr>
        <w:t>）。他們成為衪的聖潔臨到受造物之處。當所有的天和地都成為神的聖殿時，歷史才會完結（</w:t>
      </w:r>
      <w:r>
        <w:rPr>
          <w:lang w:val="zh_TW" w:bidi="zh_TW"/>
        </w:rPr>
        <w:t>賽65:17–18</w:t>
      </w:r>
      <w:r>
        <w:rPr>
          <w:lang w:val="zh_TW" w:bidi="zh_TW"/>
        </w:rPr>
        <w:t>；</w:t>
      </w:r>
      <w:r>
        <w:rPr>
          <w:lang w:val="zh_TW" w:bidi="zh_TW"/>
        </w:rPr>
        <w:t>啟21:1–2</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創2:15–17</w:t>
      </w:r>
      <w:r>
        <w:rPr>
          <w:lang w:val="zh_TW" w:bidi="zh_TW"/>
        </w:rPr>
        <w:t>，</w:t>
      </w:r>
      <w:r>
        <w:rPr>
          <w:lang w:val="zh_TW" w:bidi="zh_TW"/>
        </w:rPr>
        <w:t>3:1–6</w:t>
      </w:r>
      <w:r>
        <w:rPr>
          <w:lang w:val="zh_TW" w:bidi="zh_TW"/>
        </w:rPr>
        <w:t>；</w:t>
      </w:r>
      <w:r>
        <w:rPr>
          <w:lang w:val="zh_TW" w:bidi="zh_TW"/>
        </w:rPr>
        <w:t>出19:12–13</w:t>
      </w:r>
      <w:r>
        <w:rPr>
          <w:lang w:val="zh_TW" w:bidi="zh_TW"/>
        </w:rPr>
        <w:t>，</w:t>
      </w:r>
      <w:r>
        <w:rPr>
          <w:lang w:val="zh_TW" w:bidi="zh_TW"/>
        </w:rPr>
        <w:t>31:14–15</w:t>
      </w:r>
      <w:r>
        <w:rPr>
          <w:lang w:val="zh_TW" w:bidi="zh_TW"/>
        </w:rPr>
        <w:t>；</w:t>
      </w:r>
      <w:r>
        <w:rPr>
          <w:lang w:val="zh_TW" w:bidi="zh_TW"/>
        </w:rPr>
        <w:t>利10:1–20</w:t>
      </w:r>
      <w:r>
        <w:rPr>
          <w:lang w:val="zh_TW" w:bidi="zh_TW"/>
        </w:rPr>
        <w:t>，</w:t>
      </w:r>
      <w:r>
        <w:rPr>
          <w:lang w:val="zh_TW" w:bidi="zh_TW"/>
        </w:rPr>
        <w:t>24:16–17</w:t>
      </w:r>
      <w:r>
        <w:rPr>
          <w:lang w:val="zh_TW" w:bidi="zh_TW"/>
        </w:rPr>
        <w:t>；</w:t>
      </w:r>
      <w:r>
        <w:rPr>
          <w:lang w:val="zh_TW" w:bidi="zh_TW"/>
        </w:rPr>
        <w:t>民1:51</w:t>
      </w:r>
      <w:r>
        <w:rPr>
          <w:lang w:val="zh_TW" w:bidi="zh_TW"/>
        </w:rPr>
        <w:t>，</w:t>
      </w:r>
      <w:r>
        <w:rPr>
          <w:lang w:val="zh_TW" w:bidi="zh_TW"/>
        </w:rPr>
        <w:t>15:32–36</w:t>
      </w:r>
      <w:r>
        <w:rPr>
          <w:lang w:val="zh_TW" w:bidi="zh_TW"/>
        </w:rPr>
        <w:t>，</w:t>
      </w:r>
      <w:r>
        <w:rPr>
          <w:lang w:val="zh_TW" w:bidi="zh_TW"/>
        </w:rPr>
        <w:t>代下26:16–21</w:t>
      </w:r>
      <w:r>
        <w:rPr>
          <w:lang w:val="zh_TW" w:bidi="zh_TW"/>
        </w:rPr>
        <w:t>；</w:t>
      </w:r>
      <w:r>
        <w:rPr>
          <w:lang w:val="zh_TW" w:bidi="zh_TW"/>
        </w:rPr>
        <w:t>林前6:19–20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