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因信稱義</w:t>
      </w:r>
      <w:r>
        <w:rPr>
          <w:lang w:val="zh_TW" w:bidi="zh_TW"/>
        </w:rPr>
      </w:r>
    </w:p>
    <w:p>
      <w:pPr/>
      <w:r>
        <w:rPr>
          <w:lang w:val="zh_TW" w:bidi="zh_TW"/>
        </w:rPr>
      </w:r>
      <w:r>
        <w:rPr>
          <w:lang w:val="zh_TW" w:bidi="zh_TW"/>
        </w:rPr>
        <w:t>早期教會曾面對的關鍵問題，就是接受耶穌福音的外邦人（非猶太人），是否必須遵守猶太律法（包括割禮），才能成為神家中的一分子？</w:t>
      </w:r>
    </w:p>
    <w:p>
      <w:pPr/>
      <w:r>
        <w:rPr>
          <w:lang w:val="zh_TW" w:bidi="zh_TW"/>
        </w:rPr>
      </w:r>
      <w:r>
        <w:rPr>
          <w:lang w:val="zh_TW" w:bidi="zh_TW"/>
        </w:rPr>
        <w:t>對使徒保羅來說，答案十分簡明：人無法靠自己的努力在神面前稱義。唯有耶穌已經完成了使人與神和好的必要工作。救恩是出於神的恩典，藉著信心得著。我們的回應是信靠基督、感謝祂的作為，並活出與祂的愛與真理相稱的生命。</w:t>
      </w:r>
    </w:p>
    <w:p>
      <w:pPr/>
      <w:r>
        <w:rPr>
          <w:lang w:val="zh_TW" w:bidi="zh_TW"/>
        </w:rPr>
      </w:r>
      <w:r>
        <w:rPr>
          <w:lang w:val="zh_TW" w:bidi="zh_TW"/>
        </w:rPr>
        <w:t>然而，對第一世紀的猶太基督徒而言，這樣的答案並不容易接受。從亞伯拉罕的時代起，與神建立正確關係的記號，就是割禮，就是為男性割去包皮的儀式（</w:t>
      </w:r>
      <w:r>
        <w:rPr>
          <w:lang w:val="zh_TW" w:bidi="zh_TW"/>
        </w:rPr>
        <w:t>創17:9–14</w:t>
      </w:r>
      <w:r>
        <w:rPr>
          <w:lang w:val="zh_TW" w:bidi="zh_TW"/>
        </w:rPr>
        <w:t>）。凡屬於神家的男性都必須受割禮，未受割禮者就會從神的子民中除去。受割禮者同時也要遵守其它律法，包括安息日與飲食上的潔淨規條。</w:t>
      </w:r>
    </w:p>
    <w:p>
      <w:pPr/>
      <w:r>
        <w:rPr>
          <w:lang w:val="zh_TW" w:bidi="zh_TW"/>
        </w:rPr>
      </w:r>
      <w:r>
        <w:rPr>
          <w:lang w:val="zh_TW" w:bidi="zh_TW"/>
        </w:rPr>
        <w:t>當福音從猶太人傳到外邦人時，自然引發一個疑問：基督徒是否需要受割禮（和遵守其它律法）才可被接納，成為神的子民？抑或，神是因人對基督十架救恩的信心而接納他們？隨著保羅對外邦人的宣教事工不斷拓展，這個問題變得更加迫切。</w:t>
      </w:r>
    </w:p>
    <w:p>
      <w:pPr/>
      <w:r>
        <w:rPr>
          <w:lang w:val="zh_TW" w:bidi="zh_TW"/>
        </w:rPr>
      </w:r>
      <w:r>
        <w:rPr>
          <w:lang w:val="zh_TW" w:bidi="zh_TW"/>
        </w:rPr>
        <w:t>使徒彼得從他在約帕的異象及在凱撒利亞的經歷中明白，神已接納</w:t>
      </w:r>
      <w:r>
        <w:rPr>
          <w:b/>
          <w:lang w:val="zh_TW" w:bidi="zh_TW"/>
        </w:rPr>
        <w:t>外邦人</w:t>
      </w:r>
      <w:r>
        <w:rPr>
          <w:lang w:val="zh_TW" w:bidi="zh_TW"/>
        </w:rPr>
        <w:t>的身分，因為他們信靠基督已成就的救恩（</w:t>
      </w:r>
      <w:r>
        <w:rPr>
          <w:lang w:val="zh_TW" w:bidi="zh_TW"/>
        </w:rPr>
        <w:t>徒10:9–11:18</w:t>
      </w:r>
      <w:r>
        <w:rPr>
          <w:lang w:val="zh_TW" w:bidi="zh_TW"/>
        </w:rPr>
        <w:t>）。他們不需要透過受割禮或遵守禮儀律法，來成為猶太人。基督為他們開了一條通向神的道路，使他們可藉著信心來到神面前。因此，彼得與耶路撒冷的教會接納了外邦信徒，與他們一同團契。不過，當有些猶太基督徒前來批評時，彼得一度停止與外邦信徒同席吃飯（</w:t>
      </w:r>
      <w:r>
        <w:rPr>
          <w:lang w:val="zh_TW" w:bidi="zh_TW"/>
        </w:rPr>
        <w:t>加2:11–13</w:t>
      </w:r>
      <w:r>
        <w:rPr>
          <w:lang w:val="zh_TW" w:bidi="zh_TW"/>
        </w:rPr>
        <w:t>）。保羅因此責備彼得，因為他的舉動暗示他相信唯有外邦人變成猶太人，才能被神接納（</w:t>
      </w:r>
      <w:r>
        <w:rPr>
          <w:lang w:val="zh_TW" w:bidi="zh_TW"/>
        </w:rPr>
        <w:t>2:14–21</w:t>
      </w:r>
      <w:r>
        <w:rPr>
          <w:lang w:val="zh_TW" w:bidi="zh_TW"/>
        </w:rPr>
        <w:t>）。</w:t>
      </w:r>
    </w:p>
    <w:p>
      <w:pPr/>
      <w:r>
        <w:rPr>
          <w:lang w:val="zh_TW" w:bidi="zh_TW"/>
        </w:rPr>
      </w:r>
      <w:r>
        <w:rPr>
          <w:lang w:val="zh_TW" w:bidi="zh_TW"/>
        </w:rPr>
        <w:t>人並不是因行律法而稱義（</w:t>
      </w:r>
      <w:r>
        <w:rPr>
          <w:lang w:val="zh_TW" w:bidi="zh_TW"/>
        </w:rPr>
        <w:t>加2:16</w:t>
      </w:r>
      <w:r>
        <w:rPr>
          <w:lang w:val="zh_TW" w:bidi="zh_TW"/>
        </w:rPr>
        <w:t>）。即使是亞伯拉罕，也是因信而被算為義（</w:t>
      </w:r>
      <w:r>
        <w:rPr>
          <w:lang w:val="zh_TW" w:bidi="zh_TW"/>
        </w:rPr>
        <w:t>創15:6</w:t>
      </w:r>
      <w:r>
        <w:rPr>
          <w:lang w:val="zh_TW" w:bidi="zh_TW"/>
        </w:rPr>
        <w:t>；</w:t>
      </w:r>
      <w:r>
        <w:rPr>
          <w:lang w:val="zh_TW" w:bidi="zh_TW"/>
        </w:rPr>
        <w:t>加3:6</w:t>
      </w:r>
      <w:r>
        <w:rPr>
          <w:lang w:val="zh_TW" w:bidi="zh_TW"/>
        </w:rPr>
        <w:t>；</w:t>
      </w:r>
      <w:r>
        <w:rPr>
          <w:lang w:val="zh_TW" w:bidi="zh_TW"/>
        </w:rPr>
        <w:t>雅2:21–24</w:t>
      </w:r>
      <w:r>
        <w:rPr>
          <w:lang w:val="zh_TW" w:bidi="zh_TW"/>
        </w:rPr>
        <w:t>），而不是因為割禮，因為割禮是在此之後才設立的（</w:t>
      </w:r>
      <w:r>
        <w:rPr>
          <w:lang w:val="zh_TW" w:bidi="zh_TW"/>
        </w:rPr>
        <w:t>創17:9–14</w:t>
      </w:r>
      <w:r>
        <w:rPr>
          <w:lang w:val="zh_TW" w:bidi="zh_TW"/>
        </w:rPr>
        <w:t>）。猶太人和外邦人，都是藉著對神恩典的信心，才得以與祂建立關係。</w:t>
      </w:r>
    </w:p>
    <w:p>
      <w:pPr/>
      <w:r>
        <w:rPr>
          <w:lang w:val="zh_TW" w:bidi="zh_TW"/>
        </w:rPr>
      </w:r>
      <w:r>
        <w:rPr>
          <w:u w:val="single"/>
          <w:lang w:val="zh_TW" w:bidi="zh_TW"/>
        </w:rPr>
        <w:t>進深研究的經文段落</w:t>
      </w:r>
    </w:p>
    <w:p>
      <w:pPr/>
      <w:r>
        <w:rPr>
          <w:lang w:val="zh_TW" w:bidi="zh_TW"/>
        </w:rPr>
      </w:r>
      <w:r>
        <w:rPr>
          <w:lang w:val="zh_TW" w:bidi="zh_TW"/>
        </w:rPr>
        <w:t>創15:6</w:t>
      </w:r>
      <w:r>
        <w:rPr>
          <w:lang w:val="zh_TW" w:bidi="zh_TW"/>
        </w:rPr>
        <w:t>；</w:t>
      </w:r>
      <w:r>
        <w:rPr>
          <w:lang w:val="zh_TW" w:bidi="zh_TW"/>
        </w:rPr>
        <w:t>哈2:4</w:t>
      </w:r>
      <w:r>
        <w:rPr>
          <w:lang w:val="zh_TW" w:bidi="zh_TW"/>
        </w:rPr>
        <w:t>；</w:t>
      </w:r>
      <w:r>
        <w:rPr>
          <w:lang w:val="zh_TW" w:bidi="zh_TW"/>
        </w:rPr>
        <w:t>徒10:1–11:18</w:t>
      </w:r>
      <w:r>
        <w:rPr>
          <w:lang w:val="zh_TW" w:bidi="zh_TW"/>
        </w:rPr>
        <w:t>；</w:t>
      </w:r>
      <w:r>
        <w:rPr>
          <w:lang w:val="zh_TW" w:bidi="zh_TW"/>
        </w:rPr>
        <w:t>羅1:17</w:t>
      </w:r>
      <w:r>
        <w:rPr>
          <w:lang w:val="zh_TW" w:bidi="zh_TW"/>
        </w:rPr>
        <w:t>；</w:t>
      </w:r>
      <w:r>
        <w:rPr>
          <w:lang w:val="zh_TW" w:bidi="zh_TW"/>
        </w:rPr>
        <w:t>加2:14–21</w:t>
      </w:r>
      <w:r>
        <w:rPr>
          <w:lang w:val="zh_TW" w:bidi="zh_TW"/>
        </w:rPr>
        <w:t>，</w:t>
      </w:r>
      <w:r>
        <w:rPr>
          <w:lang w:val="zh_TW" w:bidi="zh_TW"/>
        </w:rPr>
        <w:t>3:11</w:t>
      </w:r>
      <w:r>
        <w:rPr>
          <w:lang w:val="zh_TW" w:bidi="zh_TW"/>
        </w:rPr>
        <w:t>；</w:t>
      </w:r>
      <w:r>
        <w:rPr>
          <w:lang w:val="zh_TW" w:bidi="zh_TW"/>
        </w:rPr>
        <w:t>來10:38</w:t>
      </w:r>
      <w:r>
        <w:rPr>
          <w:lang w:val="zh_TW" w:bidi="zh_TW"/>
        </w:rPr>
      </w:r>
      <w:r>
        <w:rPr>
          <w:lang w:val="zh_TW" w:bidi="zh_TW"/>
        </w:rPr>
      </w:r>
    </w:p>
    <w:p>
      <w:pPr/>
      <w:r>
        <w:rPr>
          <w:lang w:val="zh_TW" w:bidi="zh_TW"/>
        </w:rPr>
      </w:r>
    </w:p>
    <w:p>
      <w:pPr>
        <w:pStyle w:val="Heading2"/>
      </w:pPr>
      <w:r>
        <w:rPr>
          <w:lang w:val="zh_TW" w:bidi="zh_TW"/>
        </w:rPr>
        <w:t>因著信</w:t>
      </w:r>
      <w:r>
        <w:rPr>
          <w:lang w:val="zh_TW" w:bidi="zh_TW"/>
        </w:rPr>
      </w:r>
    </w:p>
    <w:p>
      <w:pPr/>
      <w:r>
        <w:rPr>
          <w:lang w:val="zh_TW" w:bidi="zh_TW"/>
        </w:rPr>
      </w:r>
      <w:r>
        <w:rPr>
          <w:lang w:val="zh_TW" w:bidi="zh_TW"/>
        </w:rPr>
        <w:t>信心是聖經中的一個關鍵主題，但許多人對它有誤解。有些人以為信心只是一種廣泛的屬靈特質，例如稱某人為「有信心的人」；另一些人認為信心是堅信好事會發生，是通往健康與財富的途徑；還有人覺得信心就是在沒有任何證據的情況下去相信。這些都不是聖經所說的信心。</w:t>
      </w:r>
    </w:p>
    <w:p>
      <w:pPr/>
      <w:r>
        <w:rPr>
          <w:lang w:val="zh_TW" w:bidi="zh_TW"/>
        </w:rPr>
      </w:r>
      <w:r>
        <w:rPr>
          <w:lang w:val="zh_TW" w:bidi="zh_TW"/>
        </w:rPr>
        <w:t>希伯來書第十一章</w:t>
      </w:r>
      <w:r>
        <w:rPr>
          <w:lang w:val="zh_TW" w:bidi="zh_TW"/>
        </w:rPr>
        <w:t>是聖經中最受喜愛的經文之一，其中詳細說明了「因著信」而活的意義。它把信心描述為根據神所啟示的真理，採取堅定的行動。經文舉出許多不同人物的例子，展現出信心在各種人生處境中的具體表現。信心所帶來的結果各有不同。</w:t>
      </w:r>
    </w:p>
    <w:p>
      <w:pPr/>
      <w:r>
        <w:rPr>
          <w:lang w:val="zh_TW" w:bidi="zh_TW"/>
        </w:rPr>
      </w:r>
      <w:r>
        <w:rPr>
          <w:lang w:val="zh_TW" w:bidi="zh_TW"/>
        </w:rPr>
        <w:t>「因著信」，有些人得蒙拯救、成就大事、在今生就領受了神的某些應許。另一方面，「因著信」，有些人則遭受戲弄、鞭打、酷刑、監禁，甚至死亡。信心的獎賞可能立刻實現，也可能延至將來，但有信心的人之所以盼望這些獎賞，是因為他們相信神的良善，也確信祂必信守自己的應許</w:t>
      </w:r>
    </w:p>
    <w:p>
      <w:pPr/>
      <w:r>
        <w:rPr>
          <w:lang w:val="zh_TW" w:bidi="zh_TW"/>
        </w:rPr>
      </w:r>
      <w:r>
        <w:rPr>
          <w:lang w:val="zh_TW" w:bidi="zh_TW"/>
        </w:rPr>
        <w:t>那麼，甚麼是「因著信」而活呢？這意味著，在各樣處境中，我們必須「信有神，且信他賞賜那尋求他的人」（</w:t>
      </w:r>
      <w:r>
        <w:rPr>
          <w:lang w:val="zh_TW" w:bidi="zh_TW"/>
        </w:rPr>
        <w:t>來11:6</w:t>
      </w:r>
      <w:r>
        <w:rPr>
          <w:lang w:val="zh_TW" w:bidi="zh_TW"/>
        </w:rPr>
        <w:t>）。凡憑信心而活的人，會根據神所顯明的屬性採取堅定的行動，立志在凡事上遵行祂的旨意。</w:t>
      </w:r>
    </w:p>
    <w:p>
      <w:pPr/>
      <w:r>
        <w:rPr>
          <w:lang w:val="zh_TW" w:bidi="zh_TW"/>
        </w:rPr>
      </w:r>
      <w:r>
        <w:rPr>
          <w:u w:val="single"/>
          <w:lang w:val="zh_TW" w:bidi="zh_TW"/>
        </w:rPr>
        <w:t>進深研究的經文段落</w:t>
      </w:r>
    </w:p>
    <w:p>
      <w:pPr/>
      <w:r>
        <w:rPr>
          <w:lang w:val="zh_TW" w:bidi="zh_TW"/>
        </w:rPr>
      </w:r>
      <w:r>
        <w:rPr>
          <w:lang w:val="zh_TW" w:bidi="zh_TW"/>
        </w:rPr>
        <w:t>創15:6</w:t>
      </w:r>
      <w:r>
        <w:rPr>
          <w:lang w:val="zh_TW" w:bidi="zh_TW"/>
        </w:rPr>
        <w:t>；</w:t>
      </w:r>
      <w:r>
        <w:rPr>
          <w:lang w:val="zh_TW" w:bidi="zh_TW"/>
        </w:rPr>
        <w:t>代下20:20</w:t>
      </w:r>
      <w:r>
        <w:rPr>
          <w:lang w:val="zh_TW" w:bidi="zh_TW"/>
        </w:rPr>
        <w:t>；</w:t>
      </w:r>
      <w:r>
        <w:rPr>
          <w:lang w:val="zh_TW" w:bidi="zh_TW"/>
        </w:rPr>
        <w:t>哈2:4</w:t>
      </w:r>
      <w:r>
        <w:rPr>
          <w:lang w:val="zh_TW" w:bidi="zh_TW"/>
        </w:rPr>
        <w:t>；</w:t>
      </w:r>
      <w:r>
        <w:rPr>
          <w:lang w:val="zh_TW" w:bidi="zh_TW"/>
        </w:rPr>
        <w:t>太9:29，</w:t>
      </w:r>
      <w:r>
        <w:rPr>
          <w:lang w:val="zh_TW" w:bidi="zh_TW"/>
        </w:rPr>
        <w:t>21:21</w:t>
      </w:r>
      <w:r>
        <w:rPr>
          <w:lang w:val="zh_TW" w:bidi="zh_TW"/>
        </w:rPr>
        <w:t>；</w:t>
      </w:r>
      <w:r>
        <w:rPr>
          <w:lang w:val="zh_TW" w:bidi="zh_TW"/>
        </w:rPr>
        <w:t>路8:50</w:t>
      </w:r>
      <w:r>
        <w:rPr>
          <w:lang w:val="zh_TW" w:bidi="zh_TW"/>
        </w:rPr>
        <w:t>；</w:t>
      </w:r>
      <w:r>
        <w:rPr>
          <w:lang w:val="zh_TW" w:bidi="zh_TW"/>
        </w:rPr>
        <w:t>約3:16</w:t>
      </w:r>
      <w:r>
        <w:rPr>
          <w:lang w:val="zh_TW" w:bidi="zh_TW"/>
        </w:rPr>
        <w:t>、</w:t>
      </w:r>
      <w:r>
        <w:rPr>
          <w:lang w:val="zh_TW" w:bidi="zh_TW"/>
        </w:rPr>
        <w:t>36，</w:t>
      </w:r>
      <w:r>
        <w:rPr>
          <w:lang w:val="zh_TW" w:bidi="zh_TW"/>
        </w:rPr>
        <w:t>5:24，</w:t>
      </w:r>
      <w:r>
        <w:rPr>
          <w:lang w:val="zh_TW" w:bidi="zh_TW"/>
        </w:rPr>
        <w:t>11:25，</w:t>
      </w:r>
      <w:r>
        <w:rPr>
          <w:lang w:val="zh_TW" w:bidi="zh_TW"/>
        </w:rPr>
        <w:t>12:46，</w:t>
      </w:r>
      <w:r>
        <w:rPr>
          <w:lang w:val="zh_TW" w:bidi="zh_TW"/>
        </w:rPr>
        <w:t>20:30–31</w:t>
      </w:r>
      <w:r>
        <w:rPr>
          <w:lang w:val="zh_TW" w:bidi="zh_TW"/>
        </w:rPr>
        <w:t>；</w:t>
      </w:r>
      <w:r>
        <w:rPr>
          <w:lang w:val="zh_TW" w:bidi="zh_TW"/>
        </w:rPr>
        <w:t>羅5:1，</w:t>
      </w:r>
      <w:r>
        <w:rPr>
          <w:lang w:val="zh_TW" w:bidi="zh_TW"/>
        </w:rPr>
        <w:t>10:9</w:t>
      </w:r>
      <w:r>
        <w:rPr>
          <w:lang w:val="zh_TW" w:bidi="zh_TW"/>
        </w:rPr>
        <w:t>、</w:t>
      </w:r>
      <w:r>
        <w:rPr>
          <w:lang w:val="zh_TW" w:bidi="zh_TW"/>
        </w:rPr>
        <w:t>17</w:t>
      </w:r>
      <w:r>
        <w:rPr>
          <w:lang w:val="zh_TW" w:bidi="zh_TW"/>
        </w:rPr>
        <w:t>；</w:t>
      </w:r>
      <w:r>
        <w:rPr>
          <w:lang w:val="zh_TW" w:bidi="zh_TW"/>
        </w:rPr>
        <w:t>加3:6，</w:t>
      </w:r>
      <w:r>
        <w:rPr>
          <w:lang w:val="zh_TW" w:bidi="zh_TW"/>
        </w:rPr>
        <w:t>5:6</w:t>
      </w:r>
      <w:r>
        <w:rPr>
          <w:lang w:val="zh_TW" w:bidi="zh_TW"/>
        </w:rPr>
        <w:t>；</w:t>
      </w:r>
      <w:r>
        <w:rPr>
          <w:lang w:val="zh_TW" w:bidi="zh_TW"/>
        </w:rPr>
        <w:t>提前1:19，</w:t>
      </w:r>
      <w:r>
        <w:rPr>
          <w:lang w:val="zh_TW" w:bidi="zh_TW"/>
        </w:rPr>
        <w:t>6:12</w:t>
      </w:r>
      <w:r>
        <w:rPr>
          <w:lang w:val="zh_TW" w:bidi="zh_TW"/>
        </w:rPr>
        <w:t>；</w:t>
      </w:r>
      <w:r>
        <w:rPr>
          <w:lang w:val="zh_TW" w:bidi="zh_TW"/>
        </w:rPr>
        <w:t>來10:22</w:t>
      </w:r>
      <w:r>
        <w:rPr>
          <w:lang w:val="zh_TW" w:bidi="zh_TW"/>
        </w:rPr>
        <w:t>、</w:t>
      </w:r>
      <w:r>
        <w:rPr>
          <w:lang w:val="zh_TW" w:bidi="zh_TW"/>
        </w:rPr>
        <w:t>38，</w:t>
      </w:r>
      <w:r>
        <w:rPr>
          <w:lang w:val="zh_TW" w:bidi="zh_TW"/>
        </w:rPr>
        <w:t>11:1–40</w:t>
      </w:r>
      <w:r>
        <w:rPr>
          <w:lang w:val="zh_TW" w:bidi="zh_TW"/>
        </w:rPr>
        <w:t>；</w:t>
      </w:r>
      <w:r>
        <w:rPr>
          <w:lang w:val="zh_TW" w:bidi="zh_TW"/>
        </w:rPr>
        <w:t>雅1:5–6，</w:t>
      </w:r>
      <w:r>
        <w:rPr>
          <w:lang w:val="zh_TW" w:bidi="zh_TW"/>
        </w:rPr>
        <w:t>2:14–26</w:t>
      </w:r>
      <w:r>
        <w:rPr>
          <w:lang w:val="zh_TW" w:bidi="zh_TW"/>
        </w:rPr>
        <w:t>；</w:t>
      </w:r>
      <w:r>
        <w:rPr>
          <w:lang w:val="zh_TW" w:bidi="zh_TW"/>
        </w:rPr>
        <w:t>約一3:23，</w:t>
      </w:r>
      <w:r>
        <w:rPr>
          <w:lang w:val="zh_TW" w:bidi="zh_TW"/>
        </w:rPr>
        <w:t>5:4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