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zh_TW" w:bidi="zh_TW"/>
        </w:rPr>
      </w:r>
    </w:p>
    <w:p>
      <w:pPr>
        <w:pStyle w:val="Heading2"/>
      </w:pPr>
      <w:r>
        <w:rPr>
          <w:lang w:val="zh_TW" w:bidi="zh_TW"/>
        </w:rPr>
        <w:t>Resource: Aquifer Open Study Notes (Themes)</w:t>
      </w:r>
      <w:r>
        <w:rPr>
          <w:lang w:val="zh_TW" w:bidi="zh_TW"/>
        </w:rPr>
      </w:r>
    </w:p>
    <w:p>
      <w:pPr/>
      <w:r>
        <w:rPr>
          <w:lang w:val="zh_TW" w:bidi="zh_TW"/>
        </w:rPr>
      </w:r>
      <w:r>
        <w:rPr>
          <w:b/>
          <w:lang w:val="zh_TW" w:bidi="zh_TW"/>
        </w:rPr>
        <w:t>Aquifer Open Study Notes (Themes)</w:t>
      </w:r>
    </w:p>
    <w:p>
      <w:pPr/>
      <w:r>
        <w:rPr>
          <w:lang w:val="zh_TW" w:bidi="zh_TW"/>
        </w:rPr>
      </w:r>
      <w:r>
        <w:rPr>
          <w:lang w:val="zh_TW" w:bidi="zh_TW"/>
        </w:rPr>
        <w:t xml:space="preserve">This work is an adaptation of </w:t>
      </w:r>
      <w:r>
        <w:rPr>
          <w:lang w:val="zh_TW" w:bidi="zh_TW"/>
        </w:rPr>
        <w:t>Tyndale Open Study Notes</w:t>
      </w:r>
      <w:r>
        <w:rPr>
          <w:lang w:val="zh_TW" w:bidi="zh_TW"/>
        </w:rPr>
        <w:t xml:space="preserve"> © 2023 Tyndale House Publishers, licensed under the CC BY-SA 4.0 license. The adaptation, </w:t>
      </w:r>
      <w:r>
        <w:rPr>
          <w:lang w:val="zh_TW" w:bidi="zh_TW"/>
        </w:rPr>
        <w:t>Aquifer Open Study Notes</w:t>
      </w:r>
      <w:r>
        <w:rPr>
          <w:lang w:val="zh_TW" w:bidi="zh_TW"/>
        </w:rPr>
        <w:t>, was created by Mission Mutual and is also licensed under CC BY-SA 4.0.</w:t>
      </w:r>
    </w:p>
    <w:p>
      <w:pPr/>
      <w:r>
        <w:rPr>
          <w:lang w:val="zh_TW" w:bidi="zh_TW"/>
        </w:rPr>
      </w:r>
      <w:r>
        <w:rPr>
          <w:lang w:val="zh_TW" w:bidi="zh_TW"/>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zh_TW" w:bidi="zh_TW"/>
        </w:rPr>
      </w:r>
      <w:r>
        <w:rPr>
          <w:lang w:val="zh_TW" w:bidi="zh_TW"/>
        </w:rPr>
      </w:r>
    </w:p>
    <w:p>
      <w:pPr>
        <w:pStyle w:val="Heading1"/>
      </w:pPr>
      <w:r>
        <w:rPr>
          <w:lang w:val="zh_TW" w:bidi="zh_TW"/>
        </w:rPr>
        <w:t>Aquifer Open Study Notes (Themes)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zhao</w:t>
      </w:r>
      <w:r>
        <w:rPr>
          <w:lang w:val="zh_TW" w:bidi="zh_TW"/>
        </w:rPr>
      </w:r>
    </w:p>
    <w:p>
      <w:pPr/>
      <w:r>
        <w:rPr>
          <w:lang w:val="zh_TW" w:bidi="zh_TW"/>
        </w:rPr>
      </w:r>
      <w:r>
        <w:rPr>
          <w:lang w:val="zh_TW" w:bidi="zh_TW"/>
        </w:rPr>
        <w:t xml:space="preserve"> </w:t>
      </w:r>
      <w:r>
        <w:rPr>
          <w:lang w:val="zh_TW" w:bidi="zh_TW"/>
        </w:rPr>
      </w:r>
      <w:r>
        <w:rPr>
          <w:lang w:val="zh_TW" w:bidi="zh_TW"/>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招喚死人</w:t>
      </w:r>
      <w:r>
        <w:rPr>
          <w:lang w:val="zh_TW" w:bidi="zh_TW"/>
        </w:rPr>
      </w:r>
    </w:p>
    <w:p>
      <w:pPr/>
      <w:r>
        <w:rPr>
          <w:lang w:val="zh_TW" w:bidi="zh_TW"/>
        </w:rPr>
      </w:r>
      <w:r>
        <w:rPr>
          <w:lang w:val="zh_TW" w:bidi="zh_TW"/>
        </w:rPr>
        <w:t>舊約聖經明確禁止各種巫術行為，包括招魂術（spiritism）、占卜（divination）與通靈（necromancy）。通靈是指與死者的靈魂接觸，通常是為了尋求未來的指引（見</w:t>
      </w:r>
      <w:r>
        <w:rPr>
          <w:lang w:val="zh_TW" w:bidi="zh_TW"/>
        </w:rPr>
        <w:t>申18:9–12</w:t>
      </w:r>
      <w:r>
        <w:rPr>
          <w:lang w:val="zh_TW" w:bidi="zh_TW"/>
        </w:rPr>
        <w:t>）。行通靈和求問通靈者都是重罪，依法當處以死刑（</w:t>
      </w:r>
      <w:r>
        <w:rPr>
          <w:lang w:val="zh_TW" w:bidi="zh_TW"/>
        </w:rPr>
        <w:t>利20:6</w:t>
      </w:r>
      <w:r>
        <w:rPr>
          <w:lang w:val="zh_TW" w:bidi="zh_TW"/>
        </w:rPr>
        <w:t>、</w:t>
      </w:r>
      <w:r>
        <w:rPr>
          <w:lang w:val="zh_TW" w:bidi="zh_TW"/>
        </w:rPr>
        <w:t>27</w:t>
      </w:r>
      <w:r>
        <w:rPr>
          <w:lang w:val="zh_TW" w:bidi="zh_TW"/>
        </w:rPr>
        <w:t>；參</w:t>
      </w:r>
      <w:r>
        <w:rPr>
          <w:lang w:val="zh_TW" w:bidi="zh_TW"/>
        </w:rPr>
        <w:t>撒上28:9</w:t>
      </w:r>
      <w:r>
        <w:rPr>
          <w:lang w:val="zh_TW" w:bidi="zh_TW"/>
        </w:rPr>
        <w:t>）。相反的，神的子民應當單單倚靠神來尋求引導。</w:t>
      </w:r>
    </w:p>
    <w:p>
      <w:pPr/>
      <w:r>
        <w:rPr>
          <w:lang w:val="zh_TW" w:bidi="zh_TW"/>
        </w:rPr>
      </w:r>
      <w:r>
        <w:rPr>
          <w:lang w:val="zh_TW" w:bidi="zh_TW"/>
        </w:rPr>
        <w:t>神將摩西安葬在一處無人知曉的墳地（</w:t>
      </w:r>
      <w:r>
        <w:rPr>
          <w:lang w:val="zh_TW" w:bidi="zh_TW"/>
        </w:rPr>
        <w:t>申34:6</w:t>
      </w:r>
      <w:r>
        <w:rPr>
          <w:lang w:val="zh_TW" w:bidi="zh_TW"/>
        </w:rPr>
        <w:t>），很可能是為了防止以色列人將那地方變成偶像崇拜的場所。神不願祂的子民向摩西的靈魂獻祭、敬拜他，或試圖與他的靈溝通。以色列人可能會受到這類試探，因為他們曾在埃及見過這類行為。此外，摩西作為以色列與神立約的中保，他的重要地位也可能引誘百姓以不當的方式紀念他。</w:t>
      </w:r>
    </w:p>
    <w:p>
      <w:pPr/>
      <w:r>
        <w:rPr>
          <w:lang w:val="zh_TW" w:bidi="zh_TW"/>
        </w:rPr>
      </w:r>
      <w:r>
        <w:rPr>
          <w:lang w:val="zh_TW" w:bidi="zh_TW"/>
        </w:rPr>
        <w:t>舊約明確指出，人無法與死者接觸或交談（見</w:t>
      </w:r>
      <w:r>
        <w:rPr>
          <w:lang w:val="zh_TW" w:bidi="zh_TW"/>
        </w:rPr>
        <w:t>撒下12:23</w:t>
      </w:r>
      <w:r>
        <w:rPr>
          <w:lang w:val="zh_TW" w:bidi="zh_TW"/>
        </w:rPr>
        <w:t>；</w:t>
      </w:r>
      <w:r>
        <w:rPr>
          <w:lang w:val="zh_TW" w:bidi="zh_TW"/>
        </w:rPr>
        <w:t>伯14:10–12</w:t>
      </w:r>
      <w:r>
        <w:rPr>
          <w:lang w:val="zh_TW" w:bidi="zh_TW"/>
        </w:rPr>
        <w:t>；</w:t>
      </w:r>
      <w:r>
        <w:rPr>
          <w:lang w:val="zh_TW" w:bidi="zh_TW"/>
        </w:rPr>
        <w:t>詩88:10，</w:t>
      </w:r>
      <w:r>
        <w:rPr>
          <w:lang w:val="zh_TW" w:bidi="zh_TW"/>
        </w:rPr>
        <w:t>115:17</w:t>
      </w:r>
      <w:r>
        <w:rPr>
          <w:lang w:val="zh_TW" w:bidi="zh_TW"/>
        </w:rPr>
        <w:t>）。其中唯一的例外是先知撒母耳。他似乎是奉神的命令回來發出審判（見</w:t>
      </w:r>
      <w:r>
        <w:rPr>
          <w:lang w:val="zh_TW" w:bidi="zh_TW"/>
        </w:rPr>
        <w:t>撒上28:12–19</w:t>
      </w:r>
      <w:r>
        <w:rPr>
          <w:lang w:val="zh_TW" w:bidi="zh_TW"/>
        </w:rPr>
        <w:t>）。掃羅透過一位自稱能與死者交談的人（靈媒）來招喚撒母耳，這是一項極為嚴重的罪。歷代志的作者特別指出這件事，並視之為掃羅失去王位的重要原因之一（見</w:t>
      </w:r>
      <w:r>
        <w:rPr>
          <w:lang w:val="zh_TW" w:bidi="zh_TW"/>
        </w:rPr>
        <w:t>代上10:13–14</w:t>
      </w:r>
      <w:r>
        <w:rPr>
          <w:lang w:val="zh_TW" w:bidi="zh_TW"/>
        </w:rPr>
        <w:t>）。我們沒有任何理由去通靈（向死者尋求建議），因為我們已有神活潑的道作為引導（</w:t>
      </w:r>
      <w:r>
        <w:rPr>
          <w:lang w:val="zh_TW" w:bidi="zh_TW"/>
        </w:rPr>
        <w:t>提後3:15–17</w:t>
      </w:r>
      <w:r>
        <w:rPr>
          <w:lang w:val="zh_TW" w:bidi="zh_TW"/>
        </w:rPr>
        <w:t>；</w:t>
      </w:r>
      <w:r>
        <w:rPr>
          <w:lang w:val="zh_TW" w:bidi="zh_TW"/>
        </w:rPr>
        <w:t>來4:12–13</w:t>
      </w:r>
      <w:r>
        <w:rPr>
          <w:lang w:val="zh_TW" w:bidi="zh_TW"/>
        </w:rPr>
        <w:t>）。</w:t>
      </w:r>
    </w:p>
    <w:p>
      <w:pPr/>
      <w:r>
        <w:rPr>
          <w:lang w:val="zh_TW" w:bidi="zh_TW"/>
        </w:rPr>
      </w:r>
      <w:r>
        <w:rPr>
          <w:u w:val="single"/>
          <w:lang w:val="zh_TW" w:bidi="zh_TW"/>
        </w:rPr>
        <w:t>進深研究的經文段落</w:t>
      </w:r>
    </w:p>
    <w:p>
      <w:pPr/>
      <w:r>
        <w:rPr>
          <w:lang w:val="zh_TW" w:bidi="zh_TW"/>
        </w:rPr>
      </w:r>
      <w:r>
        <w:rPr>
          <w:lang w:val="zh_TW" w:bidi="zh_TW"/>
        </w:rPr>
        <w:t>利19:31，</w:t>
      </w:r>
      <w:r>
        <w:rPr>
          <w:lang w:val="zh_TW" w:bidi="zh_TW"/>
        </w:rPr>
        <w:t>20:6–8</w:t>
      </w:r>
      <w:r>
        <w:rPr>
          <w:lang w:val="zh_TW" w:bidi="zh_TW"/>
        </w:rPr>
        <w:t>、</w:t>
      </w:r>
      <w:r>
        <w:rPr>
          <w:lang w:val="zh_TW" w:bidi="zh_TW"/>
        </w:rPr>
        <w:t>27</w:t>
      </w:r>
      <w:r>
        <w:rPr>
          <w:lang w:val="zh_TW" w:bidi="zh_TW"/>
        </w:rPr>
        <w:t>；</w:t>
      </w:r>
      <w:r>
        <w:rPr>
          <w:lang w:val="zh_TW" w:bidi="zh_TW"/>
        </w:rPr>
        <w:t>申18:9–12</w:t>
      </w:r>
      <w:r>
        <w:rPr>
          <w:lang w:val="zh_TW" w:bidi="zh_TW"/>
        </w:rPr>
        <w:t>；</w:t>
      </w:r>
      <w:r>
        <w:rPr>
          <w:lang w:val="zh_TW" w:bidi="zh_TW"/>
        </w:rPr>
        <w:t>撒上28:1–25</w:t>
      </w:r>
      <w:r>
        <w:rPr>
          <w:lang w:val="zh_TW" w:bidi="zh_TW"/>
        </w:rPr>
        <w:t>；</w:t>
      </w:r>
      <w:r>
        <w:rPr>
          <w:lang w:val="zh_TW" w:bidi="zh_TW"/>
        </w:rPr>
        <w:t>王下21:6，</w:t>
      </w:r>
      <w:r>
        <w:rPr>
          <w:lang w:val="zh_TW" w:bidi="zh_TW"/>
        </w:rPr>
        <w:t>23:24</w:t>
      </w:r>
      <w:r>
        <w:rPr>
          <w:lang w:val="zh_TW" w:bidi="zh_TW"/>
        </w:rPr>
        <w:t>；</w:t>
      </w:r>
      <w:r>
        <w:rPr>
          <w:lang w:val="zh_TW" w:bidi="zh_TW"/>
        </w:rPr>
        <w:t>代上10:13–14</w:t>
      </w:r>
      <w:r>
        <w:rPr>
          <w:lang w:val="zh_TW" w:bidi="zh_TW"/>
        </w:rPr>
        <w:t>；</w:t>
      </w:r>
      <w:r>
        <w:rPr>
          <w:lang w:val="zh_TW" w:bidi="zh_TW"/>
        </w:rPr>
        <w:t>伯14:10–12</w:t>
      </w:r>
      <w:r>
        <w:rPr>
          <w:lang w:val="zh_TW" w:bidi="zh_TW"/>
        </w:rPr>
        <w:t>；</w:t>
      </w:r>
      <w:r>
        <w:rPr>
          <w:lang w:val="zh_TW" w:bidi="zh_TW"/>
        </w:rPr>
        <w:t>賽3:1–3，</w:t>
      </w:r>
      <w:r>
        <w:rPr>
          <w:lang w:val="zh_TW" w:bidi="zh_TW"/>
        </w:rPr>
        <w:t>8:19–22</w:t>
      </w:r>
      <w:r>
        <w:rPr>
          <w:lang w:val="zh_TW" w:bidi="zh_TW"/>
        </w:rPr>
      </w:r>
      <w:r>
        <w:rPr>
          <w:lang w:val="zh_TW" w:bidi="zh_TW"/>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zh_TW"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