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i/>
          <w:lang w:val="pt_PT" w:bidi="pt_PT"/>
        </w:rPr>
        <w:t>“Crença” no evangelho de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hyperlink r:id="rId13">
        <w:r>
          <w:rPr>
            <w:lang w:val="pt_PT" w:bidi="pt_PT"/>
          </w:rPr>
          <w:rPr>
            <w:color w:val="0000EE"/>
            <w:u w:val="single"/>
          </w:rPr>
          <w:t>Mateus 8.8–10</w:t>
        </w:r>
      </w:hyperlink>
      <w:r>
        <w:rPr>
          <w:lang w:val="pt_PT" w:bidi="pt_PT"/>
        </w:rPr>
        <w:t xml:space="preserve">; </w:t>
      </w:r>
      <w:hyperlink r:id="rId14">
        <w:r>
          <w:rPr>
            <w:lang w:val="pt_PT" w:bidi="pt_PT"/>
          </w:rPr>
          <w:rPr>
            <w:color w:val="0000EE"/>
            <w:u w:val="single"/>
          </w:rPr>
          <w:t>Marcos 11.22</w:t>
        </w:r>
      </w:hyperlink>
      <w:r>
        <w:rPr>
          <w:lang w:val="pt_PT" w:bidi="pt_PT"/>
        </w:rPr>
        <w:t xml:space="preserve">; </w:t>
      </w:r>
      <w:hyperlink r:id="rId15">
        <w:r>
          <w:rPr>
            <w:lang w:val="pt_PT" w:bidi="pt_PT"/>
          </w:rPr>
          <w:rPr>
            <w:color w:val="0000EE"/>
            <w:u w:val="single"/>
          </w:rPr>
          <w:t>Atos 20.21</w:t>
        </w:r>
      </w:hyperlink>
      <w:r>
        <w:rPr>
          <w:lang w:val="pt_PT" w:bidi="pt_PT"/>
        </w:rPr>
        <w:t xml:space="preserve">; </w:t>
      </w:r>
      <w:hyperlink r:id="rId16">
        <w:r>
          <w:rPr>
            <w:lang w:val="pt_PT" w:bidi="pt_PT"/>
          </w:rPr>
          <w:rPr>
            <w:color w:val="0000EE"/>
            <w:u w:val="single"/>
          </w:rPr>
          <w:t>Romanos 1.17</w:t>
        </w:r>
      </w:hyperlink>
      <w:r>
        <w:rPr>
          <w:lang w:val="pt_PT" w:bidi="pt_PT"/>
        </w:rPr>
        <w:t xml:space="preserve">; </w:t>
      </w:r>
      <w:hyperlink r:id="rId17">
        <w:r>
          <w:rPr>
            <w:lang w:val="pt_PT" w:bidi="pt_PT"/>
          </w:rPr>
          <w:rPr>
            <w:color w:val="0000EE"/>
            <w:u w:val="single"/>
          </w:rPr>
          <w:t>3.27–31</w:t>
        </w:r>
      </w:hyperlink>
      <w:r>
        <w:rPr>
          <w:lang w:val="pt_PT" w:bidi="pt_PT"/>
        </w:rPr>
        <w:t xml:space="preserve">; </w:t>
      </w:r>
      <w:hyperlink r:id="rId18">
        <w:r>
          <w:rPr>
            <w:lang w:val="pt_PT" w:bidi="pt_PT"/>
          </w:rPr>
          <w:rPr>
            <w:color w:val="0000EE"/>
            <w:u w:val="single"/>
          </w:rPr>
          <w:t>4.3–5</w:t>
        </w:r>
      </w:hyperlink>
      <w:r>
        <w:rPr>
          <w:lang w:val="pt_PT" w:bidi="pt_PT"/>
        </w:rPr>
        <w:t xml:space="preserve">; </w:t>
      </w:r>
      <w:hyperlink r:id="rId19">
        <w:r>
          <w:rPr>
            <w:lang w:val="pt_PT" w:bidi="pt_PT"/>
          </w:rPr>
          <w:rPr>
            <w:color w:val="0000EE"/>
            <w:u w:val="single"/>
          </w:rPr>
          <w:t>Hebreus 11.1–39</w:t>
        </w:r>
      </w:hyperlink>
      <w:r>
        <w:rPr>
          <w:lang w:val="pt_PT" w:bidi="pt_PT"/>
        </w:rPr>
        <w:t xml:space="preserve">; </w:t>
      </w:r>
      <w:hyperlink r:id="rId20">
        <w:r>
          <w:rPr>
            <w:lang w:val="pt_PT" w:bidi="pt_PT"/>
          </w:rPr>
          <w:rPr>
            <w:color w:val="0000EE"/>
            <w:u w:val="single"/>
          </w:rPr>
          <w:t>Tiago 2.14–24</w:t>
        </w:r>
      </w:hyperlink>
      <w:r>
        <w:rPr>
          <w:lang w:val="pt_PT" w:bidi="pt_PT"/>
        </w:rPr>
        <w:t xml:space="preserve">; </w:t>
      </w:r>
      <w:hyperlink r:id="rId21">
        <w:r>
          <w:rPr>
            <w:lang w:val="pt_PT" w:bidi="pt_PT"/>
          </w:rPr>
          <w:rPr>
            <w:color w:val="0000EE"/>
            <w:u w:val="single"/>
          </w:rPr>
          <w:t>1 Pedro 1.5–7</w:t>
        </w:r>
      </w:hyperlink>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hyperlink r:id="rId22">
        <w:r>
          <w:rPr>
            <w:lang w:val="pt_PT" w:bidi="pt_PT"/>
          </w:rPr>
          <w:rPr>
            <w:color w:val="0000EE"/>
            <w:u w:val="single"/>
          </w:rPr>
          <w:t>Jó 6.29</w:t>
        </w:r>
      </w:hyperlink>
      <w:r>
        <w:rPr>
          <w:lang w:val="pt_PT" w:bidi="pt_PT"/>
        </w:rPr>
        <w:t>). Demonstramos fé seguindo os ensinamentos de Jesus, amando-o e obedecendo aos seus mandamentos (</w:t>
      </w:r>
      <w:hyperlink r:id="rId23">
        <w:r>
          <w:rPr>
            <w:lang w:val="pt_PT" w:bidi="pt_PT"/>
          </w:rPr>
          <w:rPr>
            <w:color w:val="0000EE"/>
            <w:u w:val="single"/>
          </w:rPr>
          <w:t>Jó 8.31</w:t>
        </w:r>
      </w:hyperlink>
      <w:r>
        <w:rPr>
          <w:lang w:val="pt_PT" w:bidi="pt_PT"/>
        </w:rPr>
        <w:t xml:space="preserve">; </w:t>
      </w:r>
      <w:hyperlink r:id="rId24">
        <w:r>
          <w:rPr>
            <w:lang w:val="pt_PT" w:bidi="pt_PT"/>
          </w:rPr>
          <w:rPr>
            <w:color w:val="0000EE"/>
            <w:u w:val="single"/>
          </w:rPr>
          <w:t>15.1–17</w:t>
        </w:r>
      </w:hyperlink>
      <w:r>
        <w:rPr>
          <w:lang w:val="pt_PT" w:bidi="pt_PT"/>
        </w:rPr>
        <w:t xml:space="preserve">; veja </w:t>
      </w:r>
      <w:hyperlink r:id="rId25">
        <w:r>
          <w:rPr>
            <w:lang w:val="pt_PT" w:bidi="pt_PT"/>
          </w:rPr>
          <w:rPr>
            <w:color w:val="0000EE"/>
            <w:u w:val="single"/>
          </w:rPr>
          <w:t>1 João 5.10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15.6</w:t>
        </w:r>
      </w:hyperlink>
      <w:r>
        <w:rPr>
          <w:lang w:val="pt_PT" w:bidi="pt_PT"/>
        </w:rPr>
        <w:t xml:space="preserve">; </w:t>
      </w:r>
      <w:hyperlink r:id="rId27">
        <w:r>
          <w:rPr>
            <w:lang w:val="pt_PT" w:bidi="pt_PT"/>
          </w:rPr>
          <w:rPr>
            <w:color w:val="0000EE"/>
            <w:u w:val="single"/>
          </w:rPr>
          <w:t>Isaías 28.16</w:t>
        </w:r>
      </w:hyperlink>
      <w:r>
        <w:rPr>
          <w:lang w:val="pt_PT" w:bidi="pt_PT"/>
        </w:rPr>
        <w:t xml:space="preserve">; </w:t>
      </w:r>
      <w:hyperlink r:id="rId28">
        <w:r>
          <w:rPr>
            <w:lang w:val="pt_PT" w:bidi="pt_PT"/>
          </w:rPr>
          <w:rPr>
            <w:color w:val="0000EE"/>
            <w:u w:val="single"/>
          </w:rPr>
          <w:t>Marcos 1.15</w:t>
        </w:r>
      </w:hyperlink>
      <w:r>
        <w:rPr>
          <w:lang w:val="pt_PT" w:bidi="pt_PT"/>
        </w:rPr>
        <w:t xml:space="preserve">; </w:t>
      </w:r>
      <w:hyperlink r:id="rId29">
        <w:r>
          <w:rPr>
            <w:lang w:val="pt_PT" w:bidi="pt_PT"/>
          </w:rPr>
          <w:rPr>
            <w:color w:val="0000EE"/>
            <w:u w:val="single"/>
          </w:rPr>
          <w:t>Marcos 9.23–24</w:t>
        </w:r>
      </w:hyperlink>
      <w:r>
        <w:rPr>
          <w:lang w:val="pt_PT" w:bidi="pt_PT"/>
        </w:rPr>
        <w:t xml:space="preserve">; </w:t>
      </w:r>
      <w:hyperlink r:id="rId30">
        <w:r>
          <w:rPr>
            <w:lang w:val="pt_PT" w:bidi="pt_PT"/>
          </w:rPr>
          <w:rPr>
            <w:color w:val="0000EE"/>
            <w:u w:val="single"/>
          </w:rPr>
          <w:t>João 1.12–13</w:t>
        </w:r>
      </w:hyperlink>
      <w:r>
        <w:rPr>
          <w:lang w:val="pt_PT" w:bidi="pt_PT"/>
        </w:rPr>
        <w:t xml:space="preserve">; </w:t>
      </w:r>
      <w:hyperlink r:id="rId31">
        <w:r>
          <w:rPr>
            <w:lang w:val="pt_PT" w:bidi="pt_PT"/>
          </w:rPr>
          <w:rPr>
            <w:color w:val="0000EE"/>
            <w:u w:val="single"/>
          </w:rPr>
          <w:t>João 3.10–18</w:t>
        </w:r>
      </w:hyperlink>
      <w:r>
        <w:rPr>
          <w:lang w:val="pt_PT" w:bidi="pt_PT"/>
        </w:rPr>
        <w:t xml:space="preserve">; </w:t>
      </w:r>
      <w:hyperlink r:id="rId32">
        <w:r>
          <w:rPr>
            <w:lang w:val="pt_PT" w:bidi="pt_PT"/>
          </w:rPr>
          <w:rPr>
            <w:color w:val="0000EE"/>
            <w:u w:val="single"/>
          </w:rPr>
          <w:t>João 5.24</w:t>
        </w:r>
      </w:hyperlink>
      <w:r>
        <w:rPr>
          <w:lang w:val="pt_PT" w:bidi="pt_PT"/>
        </w:rPr>
        <w:t xml:space="preserve">; </w:t>
      </w:r>
      <w:hyperlink r:id="rId33">
        <w:r>
          <w:rPr>
            <w:lang w:val="pt_PT" w:bidi="pt_PT"/>
          </w:rPr>
          <w:rPr>
            <w:color w:val="0000EE"/>
            <w:u w:val="single"/>
          </w:rPr>
          <w:t>João 6.35–36</w:t>
        </w:r>
      </w:hyperlink>
      <w:r>
        <w:rPr>
          <w:lang w:val="pt_PT" w:bidi="pt_PT"/>
        </w:rPr>
        <w:t xml:space="preserve">; </w:t>
      </w:r>
      <w:hyperlink r:id="rId34">
        <w:r>
          <w:rPr>
            <w:lang w:val="pt_PT" w:bidi="pt_PT"/>
          </w:rPr>
          <w:rPr>
            <w:color w:val="0000EE"/>
            <w:u w:val="single"/>
          </w:rPr>
          <w:t>João 7.38</w:t>
        </w:r>
      </w:hyperlink>
      <w:r>
        <w:rPr>
          <w:lang w:val="pt_PT" w:bidi="pt_PT"/>
        </w:rPr>
        <w:t xml:space="preserve">; </w:t>
      </w:r>
      <w:hyperlink r:id="rId35">
        <w:r>
          <w:rPr>
            <w:lang w:val="pt_PT" w:bidi="pt_PT"/>
          </w:rPr>
          <w:rPr>
            <w:color w:val="0000EE"/>
            <w:u w:val="single"/>
          </w:rPr>
          <w:t>João 9.35–38</w:t>
        </w:r>
      </w:hyperlink>
      <w:r>
        <w:rPr>
          <w:lang w:val="pt_PT" w:bidi="pt_PT"/>
        </w:rPr>
        <w:t xml:space="preserve">; </w:t>
      </w:r>
      <w:hyperlink r:id="rId36">
        <w:r>
          <w:rPr>
            <w:lang w:val="pt_PT" w:bidi="pt_PT"/>
          </w:rPr>
          <w:rPr>
            <w:color w:val="0000EE"/>
            <w:u w:val="single"/>
          </w:rPr>
          <w:t>João 11.25–27</w:t>
        </w:r>
      </w:hyperlink>
      <w:r>
        <w:rPr>
          <w:lang w:val="pt_PT" w:bidi="pt_PT"/>
        </w:rPr>
        <w:t xml:space="preserve">; </w:t>
      </w:r>
      <w:hyperlink r:id="rId37">
        <w:r>
          <w:rPr>
            <w:lang w:val="pt_PT" w:bidi="pt_PT"/>
          </w:rPr>
          <w:rPr>
            <w:color w:val="0000EE"/>
            <w:u w:val="single"/>
          </w:rPr>
          <w:t>João 12.37</w:t>
        </w:r>
      </w:hyperlink>
      <w:r>
        <w:rPr>
          <w:lang w:val="pt_PT" w:bidi="pt_PT"/>
        </w:rPr>
        <w:t xml:space="preserve">; </w:t>
      </w:r>
      <w:hyperlink r:id="rId38">
        <w:r>
          <w:rPr>
            <w:lang w:val="pt_PT" w:bidi="pt_PT"/>
          </w:rPr>
          <w:rPr>
            <w:color w:val="0000EE"/>
            <w:u w:val="single"/>
          </w:rPr>
          <w:t>João 20.25–31</w:t>
        </w:r>
      </w:hyperlink>
      <w:r>
        <w:rPr>
          <w:lang w:val="pt_PT" w:bidi="pt_PT"/>
        </w:rPr>
        <w:t xml:space="preserve">; </w:t>
      </w:r>
      <w:hyperlink r:id="rId39">
        <w:r>
          <w:rPr>
            <w:lang w:val="pt_PT" w:bidi="pt_PT"/>
          </w:rPr>
          <w:rPr>
            <w:color w:val="0000EE"/>
            <w:u w:val="single"/>
          </w:rPr>
          <w:t>Atos 10.43</w:t>
        </w:r>
      </w:hyperlink>
      <w:r>
        <w:rPr>
          <w:lang w:val="pt_PT" w:bidi="pt_PT"/>
        </w:rPr>
        <w:t xml:space="preserve">; </w:t>
      </w:r>
      <w:hyperlink r:id="rId40">
        <w:r>
          <w:rPr>
            <w:lang w:val="pt_PT" w:bidi="pt_PT"/>
          </w:rPr>
          <w:rPr>
            <w:color w:val="0000EE"/>
            <w:u w:val="single"/>
          </w:rPr>
          <w:t>Atos 13.39</w:t>
        </w:r>
      </w:hyperlink>
      <w:r>
        <w:rPr>
          <w:lang w:val="pt_PT" w:bidi="pt_PT"/>
        </w:rPr>
        <w:t xml:space="preserve">; </w:t>
      </w:r>
      <w:hyperlink r:id="rId41">
        <w:r>
          <w:rPr>
            <w:lang w:val="pt_PT" w:bidi="pt_PT"/>
          </w:rPr>
          <w:rPr>
            <w:color w:val="0000EE"/>
            <w:u w:val="single"/>
          </w:rPr>
          <w:t>Romanos 1.16</w:t>
        </w:r>
      </w:hyperlink>
      <w:r>
        <w:rPr>
          <w:lang w:val="pt_PT" w:bidi="pt_PT"/>
        </w:rPr>
        <w:t xml:space="preserve">; </w:t>
      </w:r>
      <w:hyperlink r:id="rId42">
        <w:r>
          <w:rPr>
            <w:lang w:val="pt_PT" w:bidi="pt_PT"/>
          </w:rPr>
          <w:rPr>
            <w:color w:val="0000EE"/>
            <w:u w:val="single"/>
          </w:rPr>
          <w:t>Romanos 10.9–10</w:t>
        </w:r>
      </w:hyperlink>
      <w:r>
        <w:rPr>
          <w:lang w:val="pt_PT" w:bidi="pt_PT"/>
        </w:rPr>
        <w:t xml:space="preserve">; </w:t>
      </w:r>
      <w:hyperlink r:id="rId43">
        <w:r>
          <w:rPr>
            <w:lang w:val="pt_PT" w:bidi="pt_PT"/>
          </w:rPr>
          <w:rPr>
            <w:color w:val="0000EE"/>
            <w:u w:val="single"/>
          </w:rPr>
          <w:t>Hebreus 4.3.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