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Themes (Tyndale)</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Полное уничтожение</w:t>
      </w:r>
      <w:r>
        <w:rPr>
          <w:lang w:val="ru_RU" w:bidi="ru_RU"/>
        </w:rPr>
      </w:r>
    </w:p>
    <w:p>
      <w:pPr/>
      <w:r>
        <w:rPr>
          <w:lang w:val="ru_RU" w:bidi="ru_RU"/>
        </w:rPr>
      </w:r>
      <w:r>
        <w:rPr>
          <w:lang w:val="ru_RU" w:bidi="ru_RU"/>
        </w:rPr>
        <w:t xml:space="preserve">См. статью </w:t>
      </w:r>
      <w:r>
        <w:rPr>
          <w:i/>
          <w:lang w:val="ru_RU" w:bidi="ru_RU"/>
        </w:rPr>
        <w:t>Полное посвящение (заклятое)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