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hyperlink r:id="rId13">
        <w:r>
          <w:rPr>
            <w:lang w:val="zh_TW" w:bidi="zh_TW"/>
          </w:rPr>
          <w:rPr>
            <w:color w:val="0000EE"/>
            <w:u w:val="single"/>
          </w:rPr>
          <w:t>約14:1–3</w:t>
        </w:r>
      </w:hyperlink>
      <w:r>
        <w:rPr>
          <w:lang w:val="zh_TW" w:bidi="zh_TW"/>
        </w:rPr>
        <w:t>）。耶穌升天之後，使徒們得著一個信息，說祂將來還要再來（</w:t>
      </w:r>
      <w:hyperlink r:id="rId14">
        <w:r>
          <w:rPr>
            <w:lang w:val="zh_TW" w:bidi="zh_TW"/>
          </w:rPr>
          <w:rPr>
            <w:color w:val="0000EE"/>
            <w:u w:val="single"/>
          </w:rPr>
          <w:t>徒1:9–11</w:t>
        </w:r>
      </w:hyperlink>
      <w:r>
        <w:rPr>
          <w:lang w:val="zh_TW" w:bidi="zh_TW"/>
        </w:rPr>
        <w:t>）。在啟示錄所描述的異象中，約翰也聽見耶穌應許要再次回來（</w:t>
      </w:r>
      <w:hyperlink r:id="rId15">
        <w:r>
          <w:rPr>
            <w:lang w:val="zh_TW" w:bidi="zh_TW"/>
          </w:rPr>
          <w:rPr>
            <w:color w:val="0000EE"/>
            <w:u w:val="single"/>
          </w:rPr>
          <w:t>啟22:6–20</w:t>
        </w:r>
      </w:hyperlink>
      <w:r>
        <w:rPr>
          <w:lang w:val="zh_TW" w:bidi="zh_TW"/>
        </w:rPr>
        <w:t>）。</w:t>
      </w:r>
    </w:p>
    <w:p>
      <w:pPr/>
      <w:r>
        <w:rPr>
          <w:lang w:val="zh_TW" w:bidi="zh_TW"/>
        </w:rPr>
      </w:r>
      <w:r>
        <w:rPr>
          <w:lang w:val="zh_TW" w:bidi="zh_TW"/>
        </w:rPr>
        <w:t>萬事終結的那一天，也就是「主的日子」（</w:t>
      </w:r>
      <w:hyperlink r:id="rId16">
        <w:r>
          <w:rPr>
            <w:lang w:val="zh_TW" w:bidi="zh_TW"/>
          </w:rPr>
          <w:rPr>
            <w:color w:val="0000EE"/>
            <w:u w:val="single"/>
          </w:rPr>
          <w:t>帖後2:2</w:t>
        </w:r>
      </w:hyperlink>
      <w:r>
        <w:rPr>
          <w:lang w:val="zh_TW" w:bidi="zh_TW"/>
        </w:rPr>
        <w:t>），將會突然臨到，「好像夜間的賊一樣」（</w:t>
      </w:r>
      <w:hyperlink r:id="rId17">
        <w:r>
          <w:rPr>
            <w:lang w:val="zh_TW" w:bidi="zh_TW"/>
          </w:rPr>
          <w:rPr>
            <w:color w:val="0000EE"/>
            <w:u w:val="single"/>
          </w:rPr>
          <w:t>帖前5:2</w:t>
        </w:r>
      </w:hyperlink>
      <w:r>
        <w:rPr>
          <w:lang w:val="zh_TW" w:bidi="zh_TW"/>
        </w:rPr>
        <w:t>）。耶穌說，「惟獨父」知道那日子和那時辰（</w:t>
      </w:r>
      <w:hyperlink r:id="rId18">
        <w:r>
          <w:rPr>
            <w:lang w:val="zh_TW" w:bidi="zh_TW"/>
          </w:rPr>
          <w:rPr>
            <w:color w:val="0000EE"/>
            <w:u w:val="single"/>
          </w:rPr>
          <w:t>太24:36</w:t>
        </w:r>
      </w:hyperlink>
      <w:r>
        <w:rPr>
          <w:lang w:val="zh_TW" w:bidi="zh_TW"/>
        </w:rPr>
        <w:t>；</w:t>
      </w:r>
      <w:hyperlink r:id="rId19">
        <w:r>
          <w:rPr>
            <w:lang w:val="zh_TW" w:bidi="zh_TW"/>
          </w:rPr>
          <w:rPr>
            <w:color w:val="0000EE"/>
            <w:u w:val="single"/>
          </w:rPr>
          <w:t>徒1:6–7</w:t>
        </w:r>
      </w:hyperlink>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hyperlink r:id="rId20">
        <w:r>
          <w:rPr>
            <w:lang w:val="zh_TW" w:bidi="zh_TW"/>
          </w:rPr>
          <w:rPr>
            <w:color w:val="0000EE"/>
            <w:u w:val="single"/>
          </w:rPr>
          <w:t>帖後2:1–12</w:t>
        </w:r>
      </w:hyperlink>
      <w:r>
        <w:rPr>
          <w:lang w:val="zh_TW" w:bidi="zh_TW"/>
        </w:rPr>
        <w:t>）。然而，他並不著重細節，而是提醒聽眾這些事，是為了駁斥錯誤的教導，並鼓勵那些因信仰受苦的基督徒（</w:t>
      </w:r>
      <w:hyperlink r:id="rId21">
        <w:r>
          <w:rPr>
            <w:lang w:val="zh_TW" w:bidi="zh_TW"/>
          </w:rPr>
          <w:rPr>
            <w:color w:val="0000EE"/>
            <w:u w:val="single"/>
          </w:rPr>
          <w:t>帖後1:3–10，</w:t>
        </w:r>
      </w:hyperlink>
      <w:hyperlink r:id="rId22">
        <w:r>
          <w:rPr>
            <w:lang w:val="zh_TW" w:bidi="zh_TW"/>
          </w:rPr>
          <w:rPr>
            <w:color w:val="0000EE"/>
            <w:u w:val="single"/>
          </w:rPr>
          <w:t>2:5</w:t>
        </w:r>
      </w:hyperlink>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hyperlink r:id="rId23">
        <w:r>
          <w:rPr>
            <w:lang w:val="zh_TW" w:bidi="zh_TW"/>
          </w:rPr>
          <w:rPr>
            <w:color w:val="0000EE"/>
            <w:u w:val="single"/>
          </w:rPr>
          <w:t>帖後1:7–10</w:t>
        </w:r>
      </w:hyperlink>
      <w:r>
        <w:rPr>
          <w:lang w:val="zh_TW" w:bidi="zh_TW"/>
        </w:rPr>
        <w:t>）</w:t>
      </w:r>
    </w:p>
    <w:p>
      <w:pPr>
        <w:pStyle w:val="ListBullet"/>
        <w:spacing w:line="240" w:lineRule="auto"/>
        <w:ind w:left="720"/>
      </w:pPr>
      <w:r>
        <w:rPr>
          <w:lang w:val="zh_TW" w:bidi="zh_TW"/>
        </w:rPr>
      </w:r>
      <w:r>
        <w:rPr>
          <w:lang w:val="zh_TW" w:bidi="zh_TW"/>
        </w:rPr>
        <w:t>聚集祂的跟隨者，永遠與祂同在（</w:t>
      </w:r>
      <w:hyperlink r:id="rId24">
        <w:r>
          <w:rPr>
            <w:lang w:val="zh_TW" w:bidi="zh_TW"/>
          </w:rPr>
          <w:rPr>
            <w:color w:val="0000EE"/>
            <w:u w:val="single"/>
          </w:rPr>
          <w:t>帖前4:13–17</w:t>
        </w:r>
      </w:hyperlink>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hyperlink r:id="rId25">
        <w:r>
          <w:rPr>
            <w:lang w:val="zh_TW" w:bidi="zh_TW"/>
          </w:rPr>
          <w:rPr>
            <w:color w:val="0000EE"/>
            <w:u w:val="single"/>
          </w:rPr>
          <w:t>帖後2:13–14</w:t>
        </w:r>
      </w:hyperlink>
      <w:r>
        <w:rPr>
          <w:lang w:val="zh_TW" w:bidi="zh_TW"/>
        </w:rPr>
        <w:t>）。因此，他們如今能堅定站立，仰望將來（</w:t>
      </w:r>
      <w:hyperlink r:id="rId26">
        <w:r>
          <w:rPr>
            <w:lang w:val="zh_TW" w:bidi="zh_TW"/>
          </w:rPr>
          <w:rPr>
            <w:color w:val="0000EE"/>
            <w:u w:val="single"/>
          </w:rPr>
          <w:t>2:14–15</w:t>
        </w:r>
      </w:hyperlink>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太25:1–46</w:t>
        </w:r>
      </w:hyperlink>
      <w:r>
        <w:rPr>
          <w:lang w:val="zh_TW" w:bidi="zh_TW"/>
        </w:rPr>
        <w:t>；</w:t>
      </w:r>
      <w:hyperlink r:id="rId19">
        <w:r>
          <w:rPr>
            <w:lang w:val="zh_TW" w:bidi="zh_TW"/>
          </w:rPr>
          <w:rPr>
            <w:color w:val="0000EE"/>
            <w:u w:val="single"/>
          </w:rPr>
          <w:t>徒1:6–7</w:t>
        </w:r>
      </w:hyperlink>
      <w:r>
        <w:rPr>
          <w:lang w:val="zh_TW" w:bidi="zh_TW"/>
        </w:rPr>
        <w:t>；</w:t>
      </w:r>
      <w:hyperlink r:id="rId28">
        <w:r>
          <w:rPr>
            <w:lang w:val="zh_TW" w:bidi="zh_TW"/>
          </w:rPr>
          <w:rPr>
            <w:color w:val="0000EE"/>
            <w:u w:val="single"/>
          </w:rPr>
          <w:t>帖前4:13–5:11</w:t>
        </w:r>
      </w:hyperlink>
      <w:r>
        <w:rPr>
          <w:lang w:val="zh_TW" w:bidi="zh_TW"/>
        </w:rPr>
        <w:t>；</w:t>
      </w:r>
      <w:hyperlink r:id="rId23">
        <w:r>
          <w:rPr>
            <w:lang w:val="zh_TW" w:bidi="zh_TW"/>
          </w:rPr>
          <w:rPr>
            <w:color w:val="0000EE"/>
            <w:u w:val="single"/>
          </w:rPr>
          <w:t>帖後1:7–10，</w:t>
        </w:r>
      </w:hyperlink>
      <w:hyperlink r:id="rId20">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