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JUD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Yudas 1:1–4, Yudas 1:5–16, 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Yudas</w:t>
      </w:r>
      <w:r>
        <w:rPr>
          <w:lang w:val="id_ID" w:bidi="id_ID"/>
        </w:rPr>
        <w:t xml:space="preserve"> sebetulnya bisa menyebut dirinya sebagai saudara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Yakobus</w:t>
      </w:r>
      <w:r>
        <w:rPr>
          <w:lang w:val="id_ID" w:bidi="id_ID"/>
        </w:rPr>
        <w:t xml:space="preserve">. Namun, ia mengatakan bahwa ia adalah hamba Yesus,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Hal ini menunjukkan bahwa Yudas rendah hati. Yudas mengatakan kepada </w:t>
      </w:r>
      <w:r>
        <w:rPr>
          <w:lang w:val="id_ID" w:bidi="id_ID"/>
        </w:rPr>
        <w:t>jemaat</w:t>
      </w:r>
      <w:r>
        <w:rPr>
          <w:lang w:val="id_ID" w:bidi="id_ID"/>
        </w:rPr>
        <w:t xml:space="preserve"> bahwa mereka adalah orang-orang yang terpilih, dikasihi dan aman. Hal ini akan menguatkan mereka saat mereka menghadapi bahaya yang dihadapi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Bahaya itu adalah </w:t>
      </w:r>
      <w:r>
        <w:rPr>
          <w:lang w:val="id_ID" w:bidi="id_ID"/>
        </w:rPr>
        <w:t>orang-orang fasik</w:t>
      </w:r>
      <w:r>
        <w:rPr>
          <w:lang w:val="id_ID" w:bidi="id_ID"/>
        </w:rPr>
        <w:t xml:space="preserve"> yang mengajarkan hal-hal yang tidak benar. Mereka mendorong orang-orang percaya untuk berhenti setia kepada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. Jadi, Yudas menulis untuk mendorong jemaat agar tetap mempertahankan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. Ini berarti berjuang untuk berpegang teguh pada apa yang benar tentang </w:t>
      </w:r>
      <w:r>
        <w:rPr>
          <w:lang w:val="id_ID" w:bidi="id_ID"/>
        </w:rPr>
        <w:t xml:space="preserve">Allah, </w:t>
      </w:r>
      <w:r>
        <w:rPr>
          <w:lang w:val="id_ID" w:bidi="id_ID"/>
        </w:rP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rPr>
          <w:lang w:val="id_ID" w:bidi="id_ID"/>
        </w:rPr>
        <w:t xml:space="preserve">kasih karunia </w:t>
      </w:r>
      <w:r>
        <w:rPr>
          <w:lang w:val="id_ID" w:bidi="id_ID"/>
        </w:rPr>
        <w:t xml:space="preserve">Allah. Mereka mengajarkan bahwa kasih karunia Allah memberi mereka izin untuk melakukan apa pun sesuka hati. Mereka menggunakan hal ini sebagai alasan untuk melakukan </w:t>
      </w:r>
      <w:r>
        <w:rPr>
          <w:lang w:val="id_ID" w:bidi="id_ID"/>
        </w:rPr>
        <w:t xml:space="preserve">dosa </w:t>
      </w:r>
      <w:r>
        <w:rPr>
          <w:lang w:val="id_ID" w:bidi="id_ID"/>
        </w:rPr>
        <w:t xml:space="preserve">seksual. Ajaran dusta ini membuat mereka menolak untuk menaati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sebagai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 dan Raja.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juga menulis tentang orang-orang yang benci berada di bawah kekuasaan/otoritas Yesus (2 Petrus 2:10).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fasik dan </w:t>
      </w:r>
      <w:r>
        <w:rPr>
          <w:lang w:val="id_ID" w:bidi="id_ID"/>
        </w:rPr>
        <w:t>makhluk-makhluk rohani yang jahat</w:t>
      </w:r>
      <w:r>
        <w:rPr>
          <w:lang w:val="id_ID" w:bidi="id_ID"/>
        </w:rPr>
        <w:t xml:space="preserve"> telah menyebabkan masalah bagi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sebelumnya. Yudas memberikan banyak contoh tentang hal ini dari masa lalu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. Kisah-kisah ini ditemukan dalam </w:t>
      </w:r>
      <w:r>
        <w:rPr>
          <w:lang w:val="id_ID" w:bidi="id_ID"/>
        </w:rPr>
        <w:t>Perjanjian Lama</w:t>
      </w:r>
      <w:r>
        <w:rPr>
          <w:lang w:val="id_ID" w:bidi="id_ID"/>
        </w:rPr>
        <w:t xml:space="preserve"> dan tulisan-tulisan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lainnya. Beberapa contoh menunjukkan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 Allah terhadap mereka yang menentang-Nya. Contoh-contoh ini termasuk bangsa Israel, </w:t>
      </w:r>
      <w:r>
        <w:rPr>
          <w:lang w:val="id_ID" w:bidi="id_ID"/>
        </w:rPr>
        <w:t>malaikat,</w:t>
      </w:r>
      <w:r>
        <w:rPr>
          <w:lang w:val="id_ID" w:bidi="id_ID"/>
        </w:rPr>
        <w:t xml:space="preserve"> serta penduduk </w:t>
      </w:r>
      <w:r>
        <w:rPr>
          <w:lang w:val="id_ID" w:bidi="id_ID"/>
        </w:rPr>
        <w:t>Sodom dan Gomora</w:t>
      </w:r>
      <w:r>
        <w:rPr>
          <w:lang w:val="id_ID" w:bidi="id_ID"/>
        </w:rPr>
        <w:t xml:space="preserve">. Contoh-contoh lain menunjukkan seperti apa orang-orang fasik di dalam gereja. Mereka tidak menerima otoritas seperti yang dilakukan oleh malaikat </w:t>
      </w:r>
      <w:r>
        <w:rPr>
          <w:lang w:val="id_ID" w:bidi="id_ID"/>
        </w:rPr>
        <w:t>Mikael</w:t>
      </w:r>
      <w:r>
        <w:rPr>
          <w:lang w:val="id_ID" w:bidi="id_ID"/>
        </w:rPr>
        <w:t xml:space="preserve">. Yudas membandingkan mereka dengan </w:t>
      </w:r>
      <w:r>
        <w:rPr>
          <w:lang w:val="id_ID" w:bidi="id_ID"/>
        </w:rPr>
        <w:t>Kain</w:t>
      </w:r>
      <w:r>
        <w:rPr>
          <w:lang w:val="id_ID" w:bidi="id_ID"/>
        </w:rPr>
        <w:t xml:space="preserve">, </w:t>
      </w:r>
      <w:r>
        <w:rPr>
          <w:lang w:val="id_ID" w:bidi="id_ID"/>
        </w:rPr>
        <w:t>Bileam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Korah</w:t>
      </w:r>
      <w:r>
        <w:rPr>
          <w:lang w:val="id_ID" w:bidi="id_ID"/>
        </w:rP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dari </w:t>
      </w:r>
      <w:r>
        <w:rPr>
          <w:lang w:val="id_ID" w:bidi="id_ID"/>
        </w:rPr>
        <w:t>Kitab Henokh</w:t>
      </w:r>
      <w:r>
        <w:rPr>
          <w:lang w:val="id_ID" w:bidi="id_ID"/>
        </w:rPr>
        <w:t xml:space="preserve"> tentang Allah yang akan menghakimi orang-orang fasik. Tetapi orang-orang fasik pada zaman Yudas tidak mendengarkan peringatan itu. Mereka terus mengikuti keinginan jahat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rPr>
          <w:lang w:val="id_ID" w:bidi="id_ID"/>
        </w:rPr>
        <w:t>Roh Kudus</w:t>
      </w:r>
      <w:r>
        <w:rPr>
          <w:lang w:val="id_ID" w:bidi="id_ID"/>
        </w:rPr>
        <w:t xml:space="preserve"> untuk membimbing dan menolong mereka. Mereka harus </w:t>
      </w:r>
      <w:r>
        <w:rPr>
          <w:lang w:val="id_ID" w:bidi="id_ID"/>
        </w:rPr>
        <w:t>berdoa</w:t>
      </w:r>
      <w:r>
        <w:rPr>
          <w:lang w:val="id_ID" w:bidi="id_ID"/>
        </w:rPr>
        <w:t xml:space="preserve"> bersama. Sambil menantikan </w:t>
      </w:r>
      <w:r>
        <w:rPr>
          <w:lang w:val="id_ID" w:bidi="id_ID"/>
        </w:rPr>
        <w:t xml:space="preserve">kemurahan </w:t>
      </w:r>
      <w:r>
        <w:rPr>
          <w:lang w:val="id_ID" w:bidi="id_ID"/>
        </w:rP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rPr>
          <w:lang w:val="id_ID" w:bidi="id_ID"/>
        </w:rPr>
        <w:t>Juruselamat</w:t>
      </w:r>
      <w:r>
        <w:rPr>
          <w:lang w:val="id_ID" w:bidi="id_ID"/>
        </w:rPr>
        <w:t xml:space="preserve"> mereka dan akan membawa mereka ke dalam </w:t>
      </w:r>
      <w:r>
        <w:rPr>
          <w:lang w:val="id_ID" w:bidi="id_ID"/>
        </w:rPr>
        <w:t>kemuliaan</w:t>
      </w:r>
      <w:r>
        <w:rPr>
          <w:lang w:val="id_ID" w:bidi="id_ID"/>
        </w:rPr>
        <w:t xml:space="preserve">-Nya di </w:t>
      </w:r>
      <w:r>
        <w:rPr>
          <w:lang w:val="id_ID" w:bidi="id_ID"/>
        </w:rPr>
        <w:t>surga</w:t>
      </w:r>
      <w:r>
        <w:rPr>
          <w:lang w:val="id_ID" w:bidi="id_ID"/>
        </w:rPr>
        <w:t xml:space="preserve">. Yudas berbicara tentang </w:t>
      </w:r>
      <w:r>
        <w:rPr>
          <w:lang w:val="id_ID" w:bidi="id_ID"/>
        </w:rPr>
        <w:t>kerajaan Allah</w:t>
      </w:r>
      <w:r>
        <w:rPr>
          <w:lang w:val="id_ID" w:bidi="id_ID"/>
        </w:rPr>
        <w:t xml:space="preserve">. Hal ini membawa sukacita bagi Allah dan orang-orang percaya. </w:t>
      </w:r>
      <w:r>
        <w:rPr>
          <w:lang w:val="id_ID" w:bidi="id_ID"/>
        </w:rPr>
        <w:t>Tuhan Yesus Kristus</w:t>
      </w:r>
      <w:r>
        <w:rPr>
          <w:lang w:val="id_ID" w:bidi="id_ID"/>
        </w:rPr>
        <w:t xml:space="preserve"> akan dipuji selama-lamanya.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