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1:1–8:14</w:t>
      </w:r>
      <w:r>
        <w:rPr>
          <w:lang w:val="id_ID" w:bidi="id_ID"/>
        </w:rPr>
      </w:r>
    </w:p>
    <w:p>
      <w:pPr/>
      <w:r>
        <w:rPr>
          <w:lang w:val="id_ID" w:bidi="id_ID"/>
        </w:rPr>
      </w:r>
      <w:r>
        <w:rPr>
          <w:lang w:val="id_ID" w:bidi="id_ID"/>
        </w:rPr>
        <w:t xml:space="preserve">Tokoh perempuan adalah karakter pertama yang berbicara dalam Kidung Agung. Baik dia maupun laki-laki yang dicintainya, keduanya adalah </w:t>
      </w:r>
      <w:r>
        <w:rPr>
          <w:lang w:val="id_ID" w:bidi="id_ID"/>
        </w:rPr>
        <w:t>gembala</w:t>
      </w:r>
      <w:r>
        <w:rPr>
          <w:lang w:val="id_ID" w:bidi="id_ID"/>
        </w:rPr>
        <w:t xml:space="preserve">. Selama ratusan tahun, pekerjaan ini sangat umum di kalangan masyarakat </w:t>
      </w:r>
      <w:r>
        <w:rPr>
          <w:lang w:val="id_ID" w:bidi="id_ID"/>
        </w:rPr>
        <w:t>Israel</w:t>
      </w:r>
      <w:r>
        <w:rPr>
          <w:lang w:val="id_ID" w:bidi="id_ID"/>
        </w:rP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rPr>
          <w:lang w:val="id_ID" w:bidi="id_ID"/>
        </w:rPr>
        <w:t>ciptaan</w:t>
      </w:r>
      <w:r>
        <w:rPr>
          <w:lang w:val="id_ID" w:bidi="id_ID"/>
        </w:rP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